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344F8" w14:textId="77777777" w:rsidR="00C139DD" w:rsidRDefault="00C4061B">
      <w:pPr>
        <w:pStyle w:val="Styl1Nzevsmlouvy"/>
        <w:rPr>
          <w:smallCaps w:val="0"/>
          <w:color w:val="1F497D"/>
          <w:sz w:val="44"/>
          <w:szCs w:val="44"/>
          <w:lang w:eastAsia="cs-CZ"/>
        </w:rPr>
      </w:pPr>
      <w:r>
        <w:rPr>
          <w:smallCaps w:val="0"/>
          <w:color w:val="1F497D"/>
          <w:sz w:val="44"/>
          <w:szCs w:val="44"/>
          <w:lang w:eastAsia="cs-CZ"/>
        </w:rPr>
        <w:t>Kupní smlouva</w:t>
      </w:r>
    </w:p>
    <w:p w14:paraId="7969E3EA" w14:textId="77777777" w:rsidR="00C139DD" w:rsidRDefault="00C4061B">
      <w:pPr>
        <w:pStyle w:val="Styl2popisknzvusmlouvy"/>
        <w:rPr>
          <w:b/>
          <w:color w:val="1F497D"/>
          <w:sz w:val="32"/>
          <w:szCs w:val="32"/>
        </w:rPr>
      </w:pPr>
      <w:r>
        <w:rPr>
          <w:b/>
          <w:color w:val="1F497D"/>
          <w:sz w:val="32"/>
          <w:szCs w:val="32"/>
        </w:rPr>
        <w:t xml:space="preserve">Dodávka výpočetní techniky </w:t>
      </w:r>
    </w:p>
    <w:p w14:paraId="6E5971BB" w14:textId="77777777" w:rsidR="00C139DD" w:rsidRDefault="00C4061B">
      <w:pPr>
        <w:pStyle w:val="Styl2popisknzvusmlouvy"/>
      </w:pPr>
      <w:r>
        <w:t xml:space="preserve"> (dále jen „Smlouva“)</w:t>
      </w:r>
    </w:p>
    <w:p w14:paraId="786CF829" w14:textId="77777777" w:rsidR="00C139DD" w:rsidRDefault="00C4061B">
      <w:pPr>
        <w:pStyle w:val="Styl2popisknzvusmlouvy"/>
        <w:spacing w:after="480"/>
      </w:pPr>
      <w:r>
        <w:t>uzavřená dle ustanovení § 2079 a násl. zákona č. 89/2012 Sb., občanského zákoníku</w:t>
      </w:r>
      <w:r w:rsidR="00E241AA">
        <w:t>, ve znění pozdějších předpisů</w:t>
      </w:r>
      <w:r>
        <w:t xml:space="preserve"> (dále jen „Občanský zákoník“) a v souladu se zákonem č. 134/2016 Sb., o zadávání veřejných zakázek, ve znění pozdějších předpisů (dále jen „Zákon“)</w:t>
      </w:r>
    </w:p>
    <w:p w14:paraId="07792606" w14:textId="5B380339" w:rsidR="00C139DD" w:rsidRDefault="002E414B">
      <w:pPr>
        <w:pStyle w:val="Styl2popisknzvusmlouvy"/>
        <w:spacing w:after="480"/>
      </w:pPr>
      <w:r>
        <w:t>agendové číslo: 0458/2024</w:t>
      </w:r>
    </w:p>
    <w:p w14:paraId="4DB461A9" w14:textId="490EF380" w:rsidR="00C139DD" w:rsidRPr="002E414B" w:rsidRDefault="002E414B">
      <w:pPr>
        <w:pStyle w:val="Styl3-Smluvnstranytun"/>
      </w:pPr>
      <w:r w:rsidRPr="002E414B">
        <w:t>Město Znojmo</w:t>
      </w:r>
    </w:p>
    <w:p w14:paraId="1C13740D" w14:textId="0257AA0A" w:rsidR="00C139DD" w:rsidRPr="002E414B" w:rsidRDefault="00C4061B">
      <w:pPr>
        <w:pStyle w:val="Styl3-Smluvnstranytun"/>
        <w:rPr>
          <w:b w:val="0"/>
        </w:rPr>
      </w:pPr>
      <w:r w:rsidRPr="002E414B">
        <w:rPr>
          <w:b w:val="0"/>
        </w:rPr>
        <w:t xml:space="preserve">IČO: </w:t>
      </w:r>
      <w:r w:rsidR="002E414B" w:rsidRPr="002E414B">
        <w:rPr>
          <w:b w:val="0"/>
        </w:rPr>
        <w:t>00293881</w:t>
      </w:r>
    </w:p>
    <w:p w14:paraId="3157E087" w14:textId="2A2D94BE" w:rsidR="00C139DD" w:rsidRPr="002E414B" w:rsidRDefault="00C4061B">
      <w:pPr>
        <w:pStyle w:val="Styl3-Smluvnstranytun"/>
        <w:rPr>
          <w:b w:val="0"/>
        </w:rPr>
      </w:pPr>
      <w:r w:rsidRPr="002E414B">
        <w:rPr>
          <w:b w:val="0"/>
        </w:rPr>
        <w:t xml:space="preserve">DIČ: </w:t>
      </w:r>
      <w:r w:rsidR="002E414B" w:rsidRPr="002E414B">
        <w:rPr>
          <w:b w:val="0"/>
        </w:rPr>
        <w:t>CZ00293881</w:t>
      </w:r>
    </w:p>
    <w:p w14:paraId="134D71AA" w14:textId="4B0BCA9E" w:rsidR="00C139DD" w:rsidRDefault="002E414B">
      <w:pPr>
        <w:pStyle w:val="Styl3-Smluvnstrany"/>
      </w:pPr>
      <w:r w:rsidRPr="002E414B">
        <w:t>Z</w:t>
      </w:r>
      <w:r w:rsidR="00C4061B" w:rsidRPr="002E414B">
        <w:t>astoupen</w:t>
      </w:r>
      <w:r w:rsidR="008F3595">
        <w:t>é</w:t>
      </w:r>
      <w:r w:rsidRPr="002E414B">
        <w:t>: Ing. Ivana Solařová, starostka</w:t>
      </w:r>
    </w:p>
    <w:p w14:paraId="1D0E3956" w14:textId="303DF1A8" w:rsidR="00C139DD" w:rsidRDefault="00C4061B">
      <w:pPr>
        <w:pStyle w:val="Styl3-Smluvnstrany"/>
      </w:pPr>
      <w:r>
        <w:t>bankovní spojení:</w:t>
      </w:r>
      <w:r w:rsidR="00E1476E">
        <w:t xml:space="preserve"> 19-5054880237/0100</w:t>
      </w:r>
    </w:p>
    <w:p w14:paraId="45BA6305" w14:textId="4FAB0C27" w:rsidR="00C139DD" w:rsidRDefault="00C4061B">
      <w:pPr>
        <w:pStyle w:val="Styl3-Smluvnstrany"/>
      </w:pPr>
      <w:r>
        <w:t xml:space="preserve">ID datové schránky: </w:t>
      </w:r>
      <w:r w:rsidR="00FB5E7B">
        <w:t>ns4a987</w:t>
      </w:r>
    </w:p>
    <w:p w14:paraId="1A759B4C" w14:textId="77777777" w:rsidR="00C139DD" w:rsidRDefault="00C4061B">
      <w:pPr>
        <w:pStyle w:val="Styl3-Smluvnstrany"/>
      </w:pPr>
      <w:r>
        <w:t>(dále jen „Kupující“)</w:t>
      </w:r>
    </w:p>
    <w:p w14:paraId="2248CBAD" w14:textId="77777777" w:rsidR="00C139DD" w:rsidRDefault="00C4061B">
      <w:r>
        <w:t>a</w:t>
      </w:r>
    </w:p>
    <w:p w14:paraId="5DBA7640" w14:textId="77777777" w:rsidR="00C139DD" w:rsidRDefault="00C139DD"/>
    <w:p w14:paraId="55575D40" w14:textId="6227FD74" w:rsidR="00C139DD" w:rsidRDefault="009C1A7E">
      <w:pPr>
        <w:pStyle w:val="Styl3-Smluvnstranytun"/>
      </w:pPr>
      <w:r w:rsidRPr="009C1A7E">
        <w:t>Aricoma Systems a.s.</w:t>
      </w:r>
    </w:p>
    <w:p w14:paraId="13A13E96" w14:textId="5068C898" w:rsidR="00C139DD" w:rsidRDefault="00C4061B">
      <w:pPr>
        <w:pStyle w:val="Styl3-Smluvnstrany"/>
      </w:pPr>
      <w:r>
        <w:t>Sídlo:</w:t>
      </w:r>
      <w:r w:rsidR="009C1A7E" w:rsidRPr="009C1A7E">
        <w:t xml:space="preserve"> Hornopolní 3322/34, Moravská Ostrava, 702 00 Ostrava</w:t>
      </w:r>
    </w:p>
    <w:p w14:paraId="2BEACE45" w14:textId="782D2F55" w:rsidR="00C139DD" w:rsidRDefault="00C4061B" w:rsidP="009C1A7E">
      <w:pPr>
        <w:pStyle w:val="Styl3-Smluvnstrany"/>
      </w:pPr>
      <w:r>
        <w:t xml:space="preserve">zapsaný/á v obchodním rejstříku pod spisovou značkou </w:t>
      </w:r>
      <w:r w:rsidR="009C1A7E" w:rsidRPr="009C1A7E">
        <w:t>B.11012</w:t>
      </w:r>
      <w:r w:rsidR="009C1A7E">
        <w:t xml:space="preserve"> </w:t>
      </w:r>
      <w:r>
        <w:t xml:space="preserve">vedenou u </w:t>
      </w:r>
      <w:r w:rsidR="009C1A7E">
        <w:t>Krajského soudu v Ostravě</w:t>
      </w:r>
    </w:p>
    <w:p w14:paraId="69F7F55F" w14:textId="09E5D0AA" w:rsidR="00C139DD" w:rsidRDefault="00C4061B" w:rsidP="009C1A7E">
      <w:pPr>
        <w:pStyle w:val="Styl3-Smluvnstrany"/>
      </w:pPr>
      <w:r>
        <w:t>zastoupená:</w:t>
      </w:r>
      <w:r w:rsidR="009C1A7E" w:rsidRPr="009C1A7E">
        <w:t xml:space="preserve"> </w:t>
      </w:r>
      <w:r w:rsidR="009C1A7E">
        <w:t>Vítem Ševčíkem, členem představenstva</w:t>
      </w:r>
      <w:r w:rsidR="009C1A7E">
        <w:tab/>
      </w:r>
    </w:p>
    <w:p w14:paraId="688D2237" w14:textId="569ADAAA" w:rsidR="00C139DD" w:rsidRDefault="00C4061B">
      <w:pPr>
        <w:pStyle w:val="Styl3-Smluvnstrany"/>
      </w:pPr>
      <w:r>
        <w:t>IČO:</w:t>
      </w:r>
      <w:r w:rsidR="009C1A7E" w:rsidRPr="009C1A7E">
        <w:t xml:space="preserve"> 04308697</w:t>
      </w:r>
    </w:p>
    <w:p w14:paraId="0966769E" w14:textId="186FEFAB" w:rsidR="00C139DD" w:rsidRDefault="00C4061B">
      <w:pPr>
        <w:pStyle w:val="Styl3-Smluvnstrany"/>
      </w:pPr>
      <w:r>
        <w:t>DIČ:</w:t>
      </w:r>
      <w:r w:rsidR="009C1A7E" w:rsidRPr="009C1A7E">
        <w:t xml:space="preserve"> CZ04308697</w:t>
      </w:r>
    </w:p>
    <w:p w14:paraId="3AE14EAF" w14:textId="48D2A8AD" w:rsidR="00C139DD" w:rsidRDefault="00C4061B">
      <w:pPr>
        <w:pStyle w:val="Styl3-Smluvnstrany"/>
      </w:pPr>
      <w:r>
        <w:t xml:space="preserve">bankovní spojení: </w:t>
      </w:r>
      <w:r w:rsidR="009C1A7E" w:rsidRPr="009C1A7E">
        <w:t>Česká spořitelna a.s.</w:t>
      </w:r>
      <w:r>
        <w:t xml:space="preserve">, </w:t>
      </w:r>
      <w:r w:rsidR="009C1A7E" w:rsidRPr="009C1A7E">
        <w:t>6563752/0800</w:t>
      </w:r>
    </w:p>
    <w:p w14:paraId="70946DC2" w14:textId="79A54E1B" w:rsidR="00C139DD" w:rsidRDefault="00C4061B">
      <w:pPr>
        <w:pStyle w:val="Styl3-Smluvnstrany"/>
      </w:pPr>
      <w:r>
        <w:t xml:space="preserve">ID datové schránky: </w:t>
      </w:r>
      <w:r w:rsidR="009C1A7E" w:rsidRPr="009C1A7E">
        <w:t>ctb7phe</w:t>
      </w:r>
    </w:p>
    <w:p w14:paraId="094391AF" w14:textId="77777777" w:rsidR="00C139DD" w:rsidRDefault="00C4061B">
      <w:pPr>
        <w:pStyle w:val="Styl3-Smluvnstrany"/>
      </w:pPr>
      <w:r>
        <w:t>(dále jen „Prodávající“)</w:t>
      </w:r>
    </w:p>
    <w:p w14:paraId="003890C3" w14:textId="77777777" w:rsidR="00C139DD" w:rsidRDefault="00C139DD">
      <w:pPr>
        <w:pStyle w:val="Styl3-Smluvnstrany"/>
      </w:pPr>
    </w:p>
    <w:p w14:paraId="1516466F" w14:textId="77777777" w:rsidR="00C139DD" w:rsidRDefault="00C4061B">
      <w:pPr>
        <w:pStyle w:val="Styl3-Smluvnstrany"/>
        <w:jc w:val="center"/>
      </w:pPr>
      <w:r>
        <w:t>(Kupující a Prodávající společně dále též jen jako „Smluvní strany“ a jednotlivě jako „Smluvní strana“).</w:t>
      </w:r>
    </w:p>
    <w:p w14:paraId="1298CFA5" w14:textId="77777777" w:rsidR="00C139DD" w:rsidRDefault="00C4061B">
      <w:pPr>
        <w:pStyle w:val="Nadpis1"/>
        <w:ind w:left="3904"/>
        <w:jc w:val="left"/>
      </w:pPr>
      <w:r>
        <w:t>Předmět Smlouvy</w:t>
      </w:r>
    </w:p>
    <w:p w14:paraId="0B629B15" w14:textId="77777777" w:rsidR="00C139DD" w:rsidRDefault="00C4061B">
      <w:pPr>
        <w:pStyle w:val="Nadpis2"/>
        <w:tabs>
          <w:tab w:val="num" w:pos="576"/>
        </w:tabs>
        <w:ind w:left="786"/>
      </w:pPr>
      <w:r>
        <w:t xml:space="preserve">Prodávající prohlašuje, že je, nebo včas bude výlučným vlastníkem dále specifikovaných movitých věcí (dále jen „Předmět koupě“). </w:t>
      </w:r>
    </w:p>
    <w:p w14:paraId="60E42BC1" w14:textId="77777777" w:rsidR="00C139DD" w:rsidRDefault="00C4061B">
      <w:pPr>
        <w:pStyle w:val="Nadpis2"/>
        <w:tabs>
          <w:tab w:val="num" w:pos="576"/>
        </w:tabs>
        <w:ind w:left="786"/>
      </w:pPr>
      <w:r>
        <w:t>Prodávající se zavazuje, že Kupujícímu odevzdá Předmět koupě a převede na Kupujícího vlastnické právo k němu.</w:t>
      </w:r>
    </w:p>
    <w:p w14:paraId="2C6F872D" w14:textId="77777777" w:rsidR="00C139DD" w:rsidRDefault="00C4061B">
      <w:pPr>
        <w:pStyle w:val="Nadpis2"/>
        <w:tabs>
          <w:tab w:val="num" w:pos="576"/>
        </w:tabs>
        <w:ind w:left="786"/>
      </w:pPr>
      <w:r>
        <w:t>Kupující se zavazuje Předmět koupě převzít a zaplatit za něj kupní cenu dále Smluvními stranami sjednanou.</w:t>
      </w:r>
    </w:p>
    <w:p w14:paraId="4DA1A343" w14:textId="77777777" w:rsidR="00C139DD" w:rsidRDefault="00C4061B">
      <w:pPr>
        <w:pStyle w:val="Nadpis1"/>
        <w:ind w:left="3904"/>
        <w:jc w:val="left"/>
      </w:pPr>
      <w:r>
        <w:t>Předmět koupě</w:t>
      </w:r>
    </w:p>
    <w:p w14:paraId="4D0119FB" w14:textId="77777777" w:rsidR="00C139DD" w:rsidRDefault="00C4061B">
      <w:pPr>
        <w:pStyle w:val="Nadpis2"/>
        <w:tabs>
          <w:tab w:val="num" w:pos="576"/>
        </w:tabs>
        <w:ind w:left="786"/>
      </w:pPr>
      <w:r>
        <w:t>Předmět koupě tvoří následující movité věci (části Předmětu koupě):</w:t>
      </w:r>
    </w:p>
    <w:p w14:paraId="3E4E8774" w14:textId="13CFB2C5" w:rsidR="00C139DD" w:rsidRDefault="005E7398" w:rsidP="001E0038">
      <w:pPr>
        <w:pStyle w:val="Nadpis3"/>
        <w:rPr>
          <w:lang w:eastAsia="en-US"/>
        </w:rPr>
      </w:pPr>
      <w:r>
        <w:rPr>
          <w:b/>
          <w:lang w:eastAsia="en-US"/>
        </w:rPr>
        <w:t>N</w:t>
      </w:r>
      <w:r w:rsidR="005B4466">
        <w:rPr>
          <w:b/>
          <w:lang w:eastAsia="en-US"/>
        </w:rPr>
        <w:t>otebook DSŘ</w:t>
      </w:r>
      <w:r w:rsidR="001E0038">
        <w:rPr>
          <w:i/>
          <w:lang w:eastAsia="en-US"/>
        </w:rPr>
        <w:t xml:space="preserve"> </w:t>
      </w:r>
      <w:r w:rsidR="001E0038" w:rsidRPr="009E576D">
        <w:rPr>
          <w:lang w:eastAsia="en-US"/>
        </w:rPr>
        <w:t>Dell Latitude 5550 XCTO Base (210-BLYZ)</w:t>
      </w:r>
      <w:r w:rsidR="00C4061B">
        <w:rPr>
          <w:lang w:eastAsia="en-US"/>
        </w:rPr>
        <w:t xml:space="preserve"> v množství </w:t>
      </w:r>
      <w:r w:rsidR="00512430">
        <w:rPr>
          <w:lang w:eastAsia="en-US"/>
        </w:rPr>
        <w:t>17</w:t>
      </w:r>
      <w:r w:rsidR="00C4061B">
        <w:rPr>
          <w:lang w:eastAsia="en-US"/>
        </w:rPr>
        <w:t> ks podle technické specifikace uvedené v Příloze č. 1 této Smlouvy,</w:t>
      </w:r>
    </w:p>
    <w:p w14:paraId="65AF3BBD" w14:textId="6C28CB60" w:rsidR="00C139DD" w:rsidRDefault="005E7398" w:rsidP="00FE1EE8">
      <w:pPr>
        <w:pStyle w:val="Nadpis3"/>
        <w:rPr>
          <w:lang w:eastAsia="en-US"/>
        </w:rPr>
      </w:pPr>
      <w:r>
        <w:rPr>
          <w:b/>
          <w:lang w:eastAsia="en-US"/>
        </w:rPr>
        <w:t>M</w:t>
      </w:r>
      <w:r w:rsidR="005B4466">
        <w:rPr>
          <w:b/>
          <w:lang w:eastAsia="en-US"/>
        </w:rPr>
        <w:t>onitor DSŘ</w:t>
      </w:r>
      <w:r w:rsidR="00C4061B">
        <w:rPr>
          <w:lang w:eastAsia="en-US"/>
        </w:rPr>
        <w:t xml:space="preserve"> </w:t>
      </w:r>
      <w:r w:rsidR="00FE1EE8" w:rsidRPr="00FE1EE8">
        <w:rPr>
          <w:lang w:eastAsia="en-US"/>
        </w:rPr>
        <w:t>Dell 32 4K USB-C Hub Monitor - P3223QE - 80.0cm (31.5") (210-BEQZ)</w:t>
      </w:r>
      <w:r w:rsidR="00C4061B">
        <w:rPr>
          <w:lang w:eastAsia="en-US"/>
        </w:rPr>
        <w:t xml:space="preserve"> v množství </w:t>
      </w:r>
      <w:r w:rsidR="00512430">
        <w:rPr>
          <w:lang w:eastAsia="en-US"/>
        </w:rPr>
        <w:t>34</w:t>
      </w:r>
      <w:r w:rsidR="00C4061B">
        <w:rPr>
          <w:lang w:eastAsia="en-US"/>
        </w:rPr>
        <w:t xml:space="preserve"> ks podle technické specifikace uvedené v Příloze č. 1 této Smlouvy,</w:t>
      </w:r>
    </w:p>
    <w:p w14:paraId="0E93B042" w14:textId="573490C6" w:rsidR="00C139DD" w:rsidRDefault="005E7398" w:rsidP="00FE1EE8">
      <w:pPr>
        <w:pStyle w:val="Nadpis3"/>
        <w:rPr>
          <w:b/>
          <w:lang w:eastAsia="en-US"/>
        </w:rPr>
      </w:pPr>
      <w:r>
        <w:rPr>
          <w:b/>
          <w:lang w:eastAsia="en-US"/>
        </w:rPr>
        <w:lastRenderedPageBreak/>
        <w:t>D</w:t>
      </w:r>
      <w:r w:rsidR="005B4466">
        <w:rPr>
          <w:b/>
          <w:lang w:eastAsia="en-US"/>
        </w:rPr>
        <w:t>ok. stanice DSŘ</w:t>
      </w:r>
      <w:r w:rsidR="00C4061B">
        <w:rPr>
          <w:b/>
          <w:lang w:eastAsia="en-US"/>
        </w:rPr>
        <w:t xml:space="preserve"> </w:t>
      </w:r>
      <w:r w:rsidR="00FE1EE8" w:rsidRPr="00FE1EE8">
        <w:rPr>
          <w:lang w:eastAsia="en-US"/>
        </w:rPr>
        <w:t>Dell Thunderbolt Dock WD22TB4, 180W (210-BDTD)</w:t>
      </w:r>
      <w:r w:rsidR="00C4061B">
        <w:rPr>
          <w:lang w:eastAsia="en-US"/>
        </w:rPr>
        <w:t xml:space="preserve"> v množství </w:t>
      </w:r>
      <w:r w:rsidR="00512430">
        <w:rPr>
          <w:lang w:eastAsia="en-US"/>
        </w:rPr>
        <w:t>17</w:t>
      </w:r>
      <w:r w:rsidR="00C4061B">
        <w:rPr>
          <w:lang w:eastAsia="en-US"/>
        </w:rPr>
        <w:t xml:space="preserve"> ks podle technické specifikace uvedené v Příloze č. 1 této Smlouvy</w:t>
      </w:r>
      <w:r w:rsidR="00C4061B">
        <w:rPr>
          <w:b/>
          <w:lang w:eastAsia="en-US"/>
        </w:rPr>
        <w:t>,</w:t>
      </w:r>
    </w:p>
    <w:p w14:paraId="1837B817" w14:textId="2F7A6A96" w:rsidR="00C139DD" w:rsidRDefault="005E7398">
      <w:pPr>
        <w:pStyle w:val="Nadpis3"/>
        <w:rPr>
          <w:lang w:eastAsia="en-US"/>
        </w:rPr>
      </w:pPr>
      <w:r>
        <w:rPr>
          <w:b/>
          <w:lang w:eastAsia="en-US"/>
        </w:rPr>
        <w:t>P</w:t>
      </w:r>
      <w:r w:rsidR="005B4466">
        <w:rPr>
          <w:b/>
          <w:lang w:eastAsia="en-US"/>
        </w:rPr>
        <w:t>říslušenství DSŘ</w:t>
      </w:r>
      <w:r w:rsidR="00C4061B">
        <w:rPr>
          <w:b/>
          <w:lang w:eastAsia="en-US"/>
        </w:rPr>
        <w:t xml:space="preserve"> </w:t>
      </w:r>
      <w:r w:rsidR="00C4061B">
        <w:rPr>
          <w:lang w:eastAsia="en-US"/>
        </w:rPr>
        <w:t xml:space="preserve">v množství </w:t>
      </w:r>
      <w:r w:rsidR="00512430">
        <w:rPr>
          <w:lang w:eastAsia="en-US"/>
        </w:rPr>
        <w:t>17</w:t>
      </w:r>
      <w:r w:rsidR="00C4061B">
        <w:rPr>
          <w:lang w:eastAsia="en-US"/>
        </w:rPr>
        <w:t xml:space="preserve"> ks podle technické specifikace uvedené v Příloze č. 1 této Smlouvy</w:t>
      </w:r>
      <w:r w:rsidR="00FF3328">
        <w:rPr>
          <w:b/>
          <w:lang w:eastAsia="en-US"/>
        </w:rPr>
        <w:t>.</w:t>
      </w:r>
    </w:p>
    <w:p w14:paraId="6C878316" w14:textId="62E78D36" w:rsidR="008C4DED" w:rsidRDefault="008C4DED">
      <w:pPr>
        <w:pStyle w:val="Nadpis2"/>
        <w:ind w:left="851" w:hanging="425"/>
        <w:rPr>
          <w:lang w:eastAsia="en-US"/>
        </w:rPr>
      </w:pPr>
      <w:r>
        <w:rPr>
          <w:lang w:eastAsia="en-US"/>
        </w:rPr>
        <w:t xml:space="preserve">Součástí Předmětu koupě je i dodání samolepek odpovídajících požadavkům Kupujícího specifikovaných v Příloze č. 1 této Smlouvy. Dodavatel je povinen dodat na adresu Kupujícího množství samolepek odpovídající </w:t>
      </w:r>
      <w:r w:rsidR="005F7FF3">
        <w:rPr>
          <w:lang w:eastAsia="en-US"/>
        </w:rPr>
        <w:t xml:space="preserve">trojnásobku </w:t>
      </w:r>
      <w:r>
        <w:rPr>
          <w:lang w:eastAsia="en-US"/>
        </w:rPr>
        <w:t>množství Notebooků DSŘ, a to nejpozději při jejich dodání.</w:t>
      </w:r>
      <w:r w:rsidR="005F7FF3">
        <w:rPr>
          <w:lang w:eastAsia="en-US"/>
        </w:rPr>
        <w:t xml:space="preserve"> Cena za dodání samolepek je zahrnuta v ceně Notebooku DSŘ.</w:t>
      </w:r>
    </w:p>
    <w:p w14:paraId="466FCB69" w14:textId="3F63A396" w:rsidR="00C139DD" w:rsidRDefault="00C4061B">
      <w:pPr>
        <w:pStyle w:val="Nadpis2"/>
        <w:ind w:left="851" w:hanging="425"/>
        <w:rPr>
          <w:lang w:eastAsia="en-US"/>
        </w:rPr>
      </w:pPr>
      <w:r>
        <w:rPr>
          <w:lang w:eastAsia="en-US"/>
        </w:rPr>
        <w:t>Prodávající závazně prohlašuje, že Předmět koupě odpovídá požadavkům uvedeným v zadávacích podmínkách k veřejné zakázce „Dynamický nákupní systém na prostředky ICT v resortu</w:t>
      </w:r>
      <w:r w:rsidR="005B4466">
        <w:rPr>
          <w:lang w:eastAsia="en-US"/>
        </w:rPr>
        <w:t xml:space="preserve"> Ministerstva financí – Výzva 2-2024</w:t>
      </w:r>
      <w:r>
        <w:rPr>
          <w:lang w:eastAsia="en-US"/>
        </w:rPr>
        <w:t>“</w:t>
      </w:r>
      <w:r w:rsidR="00F15AC7">
        <w:rPr>
          <w:lang w:eastAsia="en-US"/>
        </w:rPr>
        <w:t xml:space="preserve"> (dále jako zadávací podmínky veřejné zakázky)</w:t>
      </w:r>
      <w:r>
        <w:rPr>
          <w:lang w:eastAsia="en-US"/>
        </w:rPr>
        <w:t xml:space="preserve"> a že veškeré součásti Předmětu koupě specifikované v Příloze č. 1 této Smlouvy budou nové a nepoužité.</w:t>
      </w:r>
    </w:p>
    <w:p w14:paraId="49DB4F97" w14:textId="77777777" w:rsidR="00C139DD" w:rsidRDefault="00C4061B">
      <w:pPr>
        <w:pStyle w:val="Nadpis1"/>
        <w:ind w:left="3904"/>
        <w:jc w:val="left"/>
      </w:pPr>
      <w:r>
        <w:t>Způsob plnění</w:t>
      </w:r>
    </w:p>
    <w:p w14:paraId="7D892287" w14:textId="5165F84E" w:rsidR="00C139DD" w:rsidRDefault="00C4061B" w:rsidP="00361467">
      <w:pPr>
        <w:pStyle w:val="Nadpis2"/>
        <w:tabs>
          <w:tab w:val="num" w:pos="576"/>
        </w:tabs>
        <w:ind w:left="786"/>
      </w:pPr>
      <w:r>
        <w:t xml:space="preserve">Předmět koupě je Prodávající povinen předat na adresách Kupujícího uvedených v Příloze č. 2 Smlouvy (dále jen „Místa plnění“) do </w:t>
      </w:r>
      <w:r w:rsidRPr="009F2A14">
        <w:t>12 týdnů</w:t>
      </w:r>
      <w:r>
        <w:t xml:space="preserve"> od účinnosti Smlouvy.</w:t>
      </w:r>
      <w:r w:rsidR="00F15AC7">
        <w:t xml:space="preserve"> </w:t>
      </w:r>
      <w:r w:rsidR="005F7FF3">
        <w:t>Prodávající je oprávněn dodat nejvýše polovinu z celkového množství Monitorů DSŘ podle této Smlouvy</w:t>
      </w:r>
      <w:r w:rsidR="00361467">
        <w:t xml:space="preserve"> v pozdějším termínu, </w:t>
      </w:r>
      <w:r w:rsidR="005F7FF3">
        <w:t>vždy však nejpozději do 18 týdnů od účinnosti Smlouvy</w:t>
      </w:r>
      <w:r w:rsidR="00EF5616">
        <w:t>.</w:t>
      </w:r>
    </w:p>
    <w:p w14:paraId="10FE8A9C" w14:textId="1052FB25" w:rsidR="00C139DD" w:rsidRDefault="00C4061B">
      <w:pPr>
        <w:pStyle w:val="Nadpis2"/>
        <w:tabs>
          <w:tab w:val="num" w:pos="576"/>
        </w:tabs>
        <w:ind w:left="786"/>
      </w:pPr>
      <w:r>
        <w:t>Prodávající včas dohodne s Kupujícím datum a čas předání Předmětu koupě. Nedohodnou-li se Smluvní strany na oboustranně vyhovujícím datu a čase předání, platí, že Předmět koupě bude předán v Místech plnění poslední den lhůty v</w:t>
      </w:r>
      <w:r w:rsidR="004A2D24">
        <w:t> </w:t>
      </w:r>
      <w:r>
        <w:t>15</w:t>
      </w:r>
      <w:r w:rsidR="004A2D24">
        <w:t>,</w:t>
      </w:r>
      <w:r w:rsidR="005E7398">
        <w:t>00</w:t>
      </w:r>
      <w:r>
        <w:t xml:space="preserve"> hod.</w:t>
      </w:r>
    </w:p>
    <w:p w14:paraId="10183600" w14:textId="2D0A092A" w:rsidR="00C139DD" w:rsidRDefault="00C4061B">
      <w:pPr>
        <w:pStyle w:val="Nadpis2"/>
        <w:tabs>
          <w:tab w:val="num" w:pos="576"/>
        </w:tabs>
        <w:ind w:left="786"/>
      </w:pPr>
      <w:r>
        <w:t>Předmět koupě může být dodán po částech s tím, že Předmět koupě musí být vždy dodán ve formě funkčních celků. Pro odstranění nejasností se uvádí, že funkční celek tvoří Předmět koupě uvedený v čl. II. odst. 1 písm. a), b), c),</w:t>
      </w:r>
      <w:r w:rsidR="005B4466">
        <w:t xml:space="preserve"> a</w:t>
      </w:r>
      <w:r>
        <w:t xml:space="preserve"> d)</w:t>
      </w:r>
      <w:r w:rsidR="005B4466">
        <w:t xml:space="preserve"> </w:t>
      </w:r>
      <w:r>
        <w:t>této Smlouvy. Výjimkou z pravidla podle tohoto odstavce jsou případy, kdy dodání funkčního celku není možné z důvodu neodpovídajícího množství jednotlivých částí Předmětu koupě nebo pokud tak Kupující stanovil v Příloze č. 2 Smlouvy.</w:t>
      </w:r>
    </w:p>
    <w:p w14:paraId="0BDC61BD" w14:textId="77777777" w:rsidR="00C139DD" w:rsidRDefault="00C4061B">
      <w:pPr>
        <w:pStyle w:val="Nadpis1"/>
        <w:ind w:left="3901" w:hanging="357"/>
        <w:jc w:val="left"/>
      </w:pPr>
      <w:r>
        <w:t>Cena a platební podmínky</w:t>
      </w:r>
    </w:p>
    <w:p w14:paraId="209E4AEE" w14:textId="7C59F848" w:rsidR="00C139DD" w:rsidRDefault="00C4061B">
      <w:pPr>
        <w:pStyle w:val="Nadpis2"/>
        <w:tabs>
          <w:tab w:val="num" w:pos="576"/>
        </w:tabs>
        <w:ind w:left="786"/>
        <w:rPr>
          <w:color w:val="CC0099"/>
          <w:szCs w:val="24"/>
          <w:lang w:eastAsia="en-US"/>
        </w:rPr>
      </w:pPr>
      <w:r>
        <w:t>Smluvní strany si ujednaly, že celková kupní cena za Předmět koupě (dále jen „Kupní cena“) činí částku</w:t>
      </w:r>
      <w:r w:rsidR="00512430">
        <w:t xml:space="preserve"> 657 985,00</w:t>
      </w:r>
      <w:r>
        <w:rPr>
          <w:lang w:eastAsia="en-US"/>
        </w:rPr>
        <w:t xml:space="preserve"> </w:t>
      </w:r>
      <w:r>
        <w:rPr>
          <w:szCs w:val="24"/>
          <w:lang w:eastAsia="en-US"/>
        </w:rPr>
        <w:t xml:space="preserve">Kč </w:t>
      </w:r>
      <w:r w:rsidRPr="007B50D5">
        <w:rPr>
          <w:szCs w:val="24"/>
          <w:lang w:eastAsia="en-US"/>
        </w:rPr>
        <w:t>n</w:t>
      </w:r>
      <w:r w:rsidR="00FF3328">
        <w:rPr>
          <w:szCs w:val="24"/>
          <w:lang w:eastAsia="en-US"/>
        </w:rPr>
        <w:t>ez</w:t>
      </w:r>
      <w:r w:rsidRPr="007B50D5">
        <w:rPr>
          <w:szCs w:val="24"/>
          <w:lang w:eastAsia="en-US"/>
        </w:rPr>
        <w:t>výšenou</w:t>
      </w:r>
      <w:r>
        <w:rPr>
          <w:szCs w:val="24"/>
          <w:lang w:eastAsia="en-US"/>
        </w:rPr>
        <w:t xml:space="preserve"> o </w:t>
      </w:r>
      <w:r w:rsidR="00FF3328">
        <w:rPr>
          <w:szCs w:val="24"/>
          <w:lang w:eastAsia="en-US"/>
        </w:rPr>
        <w:t xml:space="preserve">částku odpovídající dani </w:t>
      </w:r>
      <w:r>
        <w:rPr>
          <w:szCs w:val="24"/>
          <w:lang w:eastAsia="en-US"/>
        </w:rPr>
        <w:t>z přidané hodnoty platn</w:t>
      </w:r>
      <w:r w:rsidR="00FF3328">
        <w:rPr>
          <w:szCs w:val="24"/>
          <w:lang w:eastAsia="en-US"/>
        </w:rPr>
        <w:t>é</w:t>
      </w:r>
      <w:r>
        <w:rPr>
          <w:szCs w:val="24"/>
          <w:lang w:eastAsia="en-US"/>
        </w:rPr>
        <w:t xml:space="preserve"> ke dni uskutečnění zdanitelného plnění</w:t>
      </w:r>
      <w:r w:rsidR="00FF1A63">
        <w:rPr>
          <w:szCs w:val="24"/>
          <w:lang w:eastAsia="en-US"/>
        </w:rPr>
        <w:t>.</w:t>
      </w:r>
    </w:p>
    <w:p w14:paraId="73AD59EF" w14:textId="77777777" w:rsidR="00C139DD" w:rsidRDefault="00C4061B">
      <w:pPr>
        <w:pStyle w:val="Nadpis2"/>
        <w:tabs>
          <w:tab w:val="num" w:pos="576"/>
        </w:tabs>
        <w:ind w:left="786"/>
        <w:rPr>
          <w:lang w:eastAsia="en-US"/>
        </w:rPr>
      </w:pPr>
      <w:r>
        <w:rPr>
          <w:lang w:eastAsia="en-US"/>
        </w:rPr>
        <w:t xml:space="preserve">Kupní cena uvedená v odst. 1) tohoto článku se skládá z následujících dílčích cen: </w:t>
      </w:r>
    </w:p>
    <w:p w14:paraId="5C601EFB" w14:textId="77777777" w:rsidR="00C139DD" w:rsidRDefault="00C139DD">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9"/>
        <w:gridCol w:w="2093"/>
        <w:gridCol w:w="1512"/>
        <w:gridCol w:w="1852"/>
        <w:gridCol w:w="1852"/>
      </w:tblGrid>
      <w:tr w:rsidR="00FF1A63" w14:paraId="0F2293A7" w14:textId="0A190377" w:rsidTr="00756C88">
        <w:trPr>
          <w:trHeight w:val="576"/>
          <w:jc w:val="center"/>
        </w:trPr>
        <w:tc>
          <w:tcPr>
            <w:tcW w:w="1204" w:type="pct"/>
            <w:shd w:val="clear" w:color="auto" w:fill="D9D9D9" w:themeFill="background1" w:themeFillShade="D9"/>
            <w:vAlign w:val="center"/>
          </w:tcPr>
          <w:p w14:paraId="6E917872" w14:textId="77777777" w:rsidR="00FF1A63" w:rsidRDefault="00FF1A63">
            <w:pPr>
              <w:jc w:val="center"/>
              <w:rPr>
                <w:b/>
                <w:bCs/>
              </w:rPr>
            </w:pPr>
            <w:r>
              <w:rPr>
                <w:b/>
                <w:bCs/>
              </w:rPr>
              <w:t>Předmět koupě</w:t>
            </w:r>
          </w:p>
        </w:tc>
        <w:tc>
          <w:tcPr>
            <w:tcW w:w="1087" w:type="pct"/>
            <w:shd w:val="clear" w:color="auto" w:fill="D9D9D9" w:themeFill="background1" w:themeFillShade="D9"/>
            <w:vAlign w:val="center"/>
          </w:tcPr>
          <w:p w14:paraId="5DC69184" w14:textId="77777777" w:rsidR="00FF1A63" w:rsidRDefault="00FF1A63">
            <w:pPr>
              <w:jc w:val="center"/>
              <w:rPr>
                <w:b/>
                <w:bCs/>
              </w:rPr>
            </w:pPr>
            <w:r>
              <w:rPr>
                <w:b/>
                <w:bCs/>
              </w:rPr>
              <w:t xml:space="preserve">Cena bez DPH za 1 ks předmětu koupě </w:t>
            </w:r>
          </w:p>
        </w:tc>
        <w:tc>
          <w:tcPr>
            <w:tcW w:w="785" w:type="pct"/>
            <w:shd w:val="clear" w:color="auto" w:fill="D9D9D9" w:themeFill="background1" w:themeFillShade="D9"/>
            <w:vAlign w:val="center"/>
          </w:tcPr>
          <w:p w14:paraId="25C96892" w14:textId="77777777" w:rsidR="00FF1A63" w:rsidRDefault="00FF1A63">
            <w:pPr>
              <w:jc w:val="center"/>
              <w:rPr>
                <w:b/>
                <w:bCs/>
              </w:rPr>
            </w:pPr>
            <w:r>
              <w:rPr>
                <w:b/>
                <w:bCs/>
              </w:rPr>
              <w:t>Množství</w:t>
            </w:r>
          </w:p>
        </w:tc>
        <w:tc>
          <w:tcPr>
            <w:tcW w:w="962" w:type="pct"/>
            <w:shd w:val="clear" w:color="auto" w:fill="D9D9D9" w:themeFill="background1" w:themeFillShade="D9"/>
            <w:vAlign w:val="center"/>
          </w:tcPr>
          <w:p w14:paraId="3ABD66EE" w14:textId="77777777" w:rsidR="00FF1A63" w:rsidRDefault="00FF1A63">
            <w:pPr>
              <w:jc w:val="center"/>
              <w:rPr>
                <w:b/>
                <w:bCs/>
              </w:rPr>
            </w:pPr>
            <w:r>
              <w:rPr>
                <w:b/>
                <w:bCs/>
              </w:rPr>
              <w:t>Cena celkem bez DPH</w:t>
            </w:r>
          </w:p>
        </w:tc>
        <w:tc>
          <w:tcPr>
            <w:tcW w:w="962" w:type="pct"/>
            <w:shd w:val="clear" w:color="auto" w:fill="D9D9D9" w:themeFill="background1" w:themeFillShade="D9"/>
            <w:vAlign w:val="center"/>
          </w:tcPr>
          <w:p w14:paraId="7CA699B5" w14:textId="49D246A3" w:rsidR="00FF1A63" w:rsidRDefault="00756C88" w:rsidP="00756C88">
            <w:pPr>
              <w:jc w:val="center"/>
              <w:rPr>
                <w:b/>
                <w:bCs/>
              </w:rPr>
            </w:pPr>
            <w:r>
              <w:rPr>
                <w:b/>
                <w:bCs/>
              </w:rPr>
              <w:t>Cena celkem</w:t>
            </w:r>
            <w:r w:rsidR="00286E62">
              <w:rPr>
                <w:b/>
                <w:bCs/>
              </w:rPr>
              <w:br/>
            </w:r>
            <w:r>
              <w:rPr>
                <w:b/>
                <w:bCs/>
              </w:rPr>
              <w:t>s DPH</w:t>
            </w:r>
          </w:p>
        </w:tc>
      </w:tr>
      <w:tr w:rsidR="00FF1A63" w14:paraId="5854A69B" w14:textId="1E63BEC6" w:rsidTr="007B50D5">
        <w:trPr>
          <w:trHeight w:val="479"/>
          <w:jc w:val="center"/>
        </w:trPr>
        <w:tc>
          <w:tcPr>
            <w:tcW w:w="1204" w:type="pct"/>
            <w:vAlign w:val="center"/>
          </w:tcPr>
          <w:p w14:paraId="3C872351" w14:textId="4D713401" w:rsidR="00FF1A63" w:rsidRDefault="00FF1A63">
            <w:pPr>
              <w:jc w:val="center"/>
              <w:rPr>
                <w:bCs/>
              </w:rPr>
            </w:pPr>
            <w:r>
              <w:rPr>
                <w:b/>
                <w:bCs/>
              </w:rPr>
              <w:t>Notebook DSŘ</w:t>
            </w:r>
          </w:p>
        </w:tc>
        <w:tc>
          <w:tcPr>
            <w:tcW w:w="1087" w:type="pct"/>
            <w:vAlign w:val="center"/>
          </w:tcPr>
          <w:p w14:paraId="2762B65D" w14:textId="113CEFB5" w:rsidR="00FF1A63" w:rsidRPr="009E576D" w:rsidRDefault="00FF1A63" w:rsidP="007B50D5">
            <w:pPr>
              <w:jc w:val="right"/>
            </w:pPr>
            <w:r w:rsidRPr="009E576D">
              <w:t>18 968,00 Kč</w:t>
            </w:r>
          </w:p>
        </w:tc>
        <w:tc>
          <w:tcPr>
            <w:tcW w:w="785" w:type="pct"/>
            <w:vAlign w:val="center"/>
          </w:tcPr>
          <w:p w14:paraId="10FAE2C2" w14:textId="2DE05FFF" w:rsidR="00FF1A63" w:rsidRDefault="00FF1A63" w:rsidP="007B50D5">
            <w:pPr>
              <w:jc w:val="right"/>
            </w:pPr>
            <w:r>
              <w:t>17 ks</w:t>
            </w:r>
          </w:p>
        </w:tc>
        <w:tc>
          <w:tcPr>
            <w:tcW w:w="962" w:type="pct"/>
            <w:vAlign w:val="center"/>
          </w:tcPr>
          <w:p w14:paraId="03D9DF35" w14:textId="45C65242" w:rsidR="00FF1A63" w:rsidRDefault="00FF1A63" w:rsidP="007B50D5">
            <w:pPr>
              <w:jc w:val="right"/>
            </w:pPr>
            <w:r w:rsidRPr="00512430">
              <w:t>322</w:t>
            </w:r>
            <w:r>
              <w:t xml:space="preserve"> </w:t>
            </w:r>
            <w:r w:rsidRPr="00512430">
              <w:t>456,00 Kč</w:t>
            </w:r>
          </w:p>
        </w:tc>
        <w:tc>
          <w:tcPr>
            <w:tcW w:w="962" w:type="pct"/>
            <w:vAlign w:val="center"/>
          </w:tcPr>
          <w:p w14:paraId="739A7BE2" w14:textId="4E422314" w:rsidR="00FF1A63" w:rsidRPr="00512430" w:rsidRDefault="007B50D5" w:rsidP="007B50D5">
            <w:pPr>
              <w:jc w:val="right"/>
            </w:pPr>
            <w:r w:rsidRPr="007B50D5">
              <w:t>390 171,76</w:t>
            </w:r>
            <w:r>
              <w:t xml:space="preserve"> Kč</w:t>
            </w:r>
          </w:p>
        </w:tc>
      </w:tr>
      <w:tr w:rsidR="00FF1A63" w14:paraId="0D04A588" w14:textId="088F71A9" w:rsidTr="007B50D5">
        <w:trPr>
          <w:trHeight w:val="479"/>
          <w:jc w:val="center"/>
        </w:trPr>
        <w:tc>
          <w:tcPr>
            <w:tcW w:w="1204" w:type="pct"/>
            <w:vAlign w:val="center"/>
          </w:tcPr>
          <w:p w14:paraId="4288648C" w14:textId="30A86D7A" w:rsidR="00FF1A63" w:rsidRDefault="00FF1A63">
            <w:pPr>
              <w:jc w:val="center"/>
              <w:rPr>
                <w:b/>
                <w:bCs/>
              </w:rPr>
            </w:pPr>
            <w:r>
              <w:rPr>
                <w:b/>
                <w:bCs/>
              </w:rPr>
              <w:t>Monitor DSŘ</w:t>
            </w:r>
          </w:p>
        </w:tc>
        <w:tc>
          <w:tcPr>
            <w:tcW w:w="1087" w:type="pct"/>
            <w:vAlign w:val="center"/>
          </w:tcPr>
          <w:p w14:paraId="05861958" w14:textId="3846B5D0" w:rsidR="00FF1A63" w:rsidRPr="009E576D" w:rsidRDefault="00FF1A63" w:rsidP="007B50D5">
            <w:pPr>
              <w:jc w:val="right"/>
            </w:pPr>
            <w:r w:rsidRPr="009E576D">
              <w:t>8 246,00 Kč</w:t>
            </w:r>
          </w:p>
        </w:tc>
        <w:tc>
          <w:tcPr>
            <w:tcW w:w="785" w:type="pct"/>
            <w:vAlign w:val="center"/>
          </w:tcPr>
          <w:p w14:paraId="0486E737" w14:textId="1444E19B" w:rsidR="00FF1A63" w:rsidRDefault="00FF1A63" w:rsidP="007B50D5">
            <w:pPr>
              <w:jc w:val="right"/>
            </w:pPr>
            <w:r>
              <w:t>34 ks</w:t>
            </w:r>
          </w:p>
        </w:tc>
        <w:tc>
          <w:tcPr>
            <w:tcW w:w="962" w:type="pct"/>
            <w:vAlign w:val="center"/>
          </w:tcPr>
          <w:p w14:paraId="4660DCD5" w14:textId="658C8984" w:rsidR="00FF1A63" w:rsidRDefault="00FF1A63" w:rsidP="007B50D5">
            <w:pPr>
              <w:jc w:val="right"/>
              <w:rPr>
                <w:i/>
                <w:sz w:val="16"/>
                <w:szCs w:val="16"/>
                <w:highlight w:val="yellow"/>
                <w:lang w:eastAsia="en-US"/>
              </w:rPr>
            </w:pPr>
            <w:r>
              <w:t>280 364</w:t>
            </w:r>
            <w:r w:rsidRPr="00512430">
              <w:t>,00 Kč</w:t>
            </w:r>
          </w:p>
        </w:tc>
        <w:tc>
          <w:tcPr>
            <w:tcW w:w="962" w:type="pct"/>
            <w:vAlign w:val="center"/>
          </w:tcPr>
          <w:p w14:paraId="02080AE2" w14:textId="38820E46" w:rsidR="00FF1A63" w:rsidRDefault="007B50D5" w:rsidP="007B50D5">
            <w:pPr>
              <w:jc w:val="right"/>
            </w:pPr>
            <w:r w:rsidRPr="007B50D5">
              <w:t>339 240,44</w:t>
            </w:r>
            <w:r>
              <w:t xml:space="preserve"> Kč</w:t>
            </w:r>
          </w:p>
        </w:tc>
      </w:tr>
      <w:tr w:rsidR="00FF1A63" w14:paraId="6A986084" w14:textId="09963335" w:rsidTr="007B50D5">
        <w:trPr>
          <w:trHeight w:val="479"/>
          <w:jc w:val="center"/>
        </w:trPr>
        <w:tc>
          <w:tcPr>
            <w:tcW w:w="1204" w:type="pct"/>
            <w:vAlign w:val="center"/>
          </w:tcPr>
          <w:p w14:paraId="064F1732" w14:textId="7DFF1229" w:rsidR="00FF1A63" w:rsidRDefault="00FF1A63" w:rsidP="005B4466">
            <w:pPr>
              <w:jc w:val="center"/>
              <w:rPr>
                <w:b/>
                <w:bCs/>
              </w:rPr>
            </w:pPr>
            <w:r>
              <w:rPr>
                <w:b/>
                <w:bCs/>
              </w:rPr>
              <w:t xml:space="preserve">Dok. stanice DSŘ </w:t>
            </w:r>
          </w:p>
        </w:tc>
        <w:tc>
          <w:tcPr>
            <w:tcW w:w="1087" w:type="pct"/>
            <w:vAlign w:val="center"/>
          </w:tcPr>
          <w:p w14:paraId="233982E7" w14:textId="0BB9C31C" w:rsidR="00FF1A63" w:rsidRPr="009E576D" w:rsidRDefault="00FF1A63" w:rsidP="007B50D5">
            <w:pPr>
              <w:jc w:val="right"/>
            </w:pPr>
            <w:r w:rsidRPr="009E576D">
              <w:t>2 974,00 Kč</w:t>
            </w:r>
          </w:p>
        </w:tc>
        <w:tc>
          <w:tcPr>
            <w:tcW w:w="785" w:type="pct"/>
            <w:vAlign w:val="center"/>
          </w:tcPr>
          <w:p w14:paraId="705F920F" w14:textId="3924646A" w:rsidR="00FF1A63" w:rsidRDefault="00FF1A63" w:rsidP="007B50D5">
            <w:pPr>
              <w:jc w:val="right"/>
            </w:pPr>
            <w:r>
              <w:t>17 ks</w:t>
            </w:r>
          </w:p>
        </w:tc>
        <w:tc>
          <w:tcPr>
            <w:tcW w:w="962" w:type="pct"/>
            <w:vAlign w:val="center"/>
          </w:tcPr>
          <w:p w14:paraId="1D7347DB" w14:textId="03613107" w:rsidR="00FF1A63" w:rsidRDefault="00FF1A63" w:rsidP="007B50D5">
            <w:pPr>
              <w:jc w:val="right"/>
              <w:rPr>
                <w:i/>
                <w:sz w:val="16"/>
                <w:szCs w:val="16"/>
                <w:highlight w:val="yellow"/>
                <w:lang w:eastAsia="en-US"/>
              </w:rPr>
            </w:pPr>
            <w:r>
              <w:t>50 558</w:t>
            </w:r>
            <w:r w:rsidRPr="00512430">
              <w:t>,00 Kč</w:t>
            </w:r>
          </w:p>
        </w:tc>
        <w:tc>
          <w:tcPr>
            <w:tcW w:w="962" w:type="pct"/>
            <w:vAlign w:val="center"/>
          </w:tcPr>
          <w:p w14:paraId="62372716" w14:textId="4E27C905" w:rsidR="00FF1A63" w:rsidRDefault="007B50D5" w:rsidP="007B50D5">
            <w:pPr>
              <w:jc w:val="right"/>
            </w:pPr>
            <w:r w:rsidRPr="007B50D5">
              <w:t>61</w:t>
            </w:r>
            <w:r>
              <w:t xml:space="preserve"> </w:t>
            </w:r>
            <w:r w:rsidRPr="007B50D5">
              <w:t>175,18</w:t>
            </w:r>
            <w:r>
              <w:t xml:space="preserve"> Kč</w:t>
            </w:r>
          </w:p>
        </w:tc>
      </w:tr>
      <w:tr w:rsidR="00FF1A63" w14:paraId="3C6A92A5" w14:textId="78E3559D" w:rsidTr="007B50D5">
        <w:trPr>
          <w:trHeight w:val="479"/>
          <w:jc w:val="center"/>
        </w:trPr>
        <w:tc>
          <w:tcPr>
            <w:tcW w:w="1204" w:type="pct"/>
            <w:vAlign w:val="center"/>
          </w:tcPr>
          <w:p w14:paraId="72BB9E7D" w14:textId="24D1E7E7" w:rsidR="00FF1A63" w:rsidRDefault="00FF1A63">
            <w:pPr>
              <w:jc w:val="center"/>
              <w:rPr>
                <w:b/>
                <w:bCs/>
              </w:rPr>
            </w:pPr>
            <w:r>
              <w:rPr>
                <w:b/>
                <w:bCs/>
              </w:rPr>
              <w:t>Příslušenství DSŘ</w:t>
            </w:r>
          </w:p>
        </w:tc>
        <w:tc>
          <w:tcPr>
            <w:tcW w:w="1087" w:type="pct"/>
            <w:vAlign w:val="center"/>
          </w:tcPr>
          <w:p w14:paraId="22BC08E3" w14:textId="47EA2B8E" w:rsidR="00FF1A63" w:rsidRPr="009E576D" w:rsidRDefault="00FF1A63" w:rsidP="007B50D5">
            <w:pPr>
              <w:jc w:val="right"/>
            </w:pPr>
            <w:r w:rsidRPr="009E576D">
              <w:t>271,00 Kč</w:t>
            </w:r>
          </w:p>
        </w:tc>
        <w:tc>
          <w:tcPr>
            <w:tcW w:w="785" w:type="pct"/>
            <w:vAlign w:val="center"/>
          </w:tcPr>
          <w:p w14:paraId="22ADC076" w14:textId="7BCA6231" w:rsidR="00FF1A63" w:rsidRDefault="00FF1A63" w:rsidP="007B50D5">
            <w:pPr>
              <w:jc w:val="right"/>
            </w:pPr>
            <w:r>
              <w:t>17 ks</w:t>
            </w:r>
          </w:p>
        </w:tc>
        <w:tc>
          <w:tcPr>
            <w:tcW w:w="962" w:type="pct"/>
            <w:vAlign w:val="center"/>
          </w:tcPr>
          <w:p w14:paraId="7EBD3A17" w14:textId="33DD2D9B" w:rsidR="00FF1A63" w:rsidRDefault="00FF1A63" w:rsidP="007B50D5">
            <w:pPr>
              <w:jc w:val="right"/>
              <w:rPr>
                <w:i/>
                <w:sz w:val="16"/>
                <w:szCs w:val="16"/>
                <w:highlight w:val="yellow"/>
                <w:lang w:eastAsia="en-US"/>
              </w:rPr>
            </w:pPr>
            <w:r>
              <w:t>4 607</w:t>
            </w:r>
            <w:r w:rsidRPr="00512430">
              <w:t>,00 Kč</w:t>
            </w:r>
          </w:p>
        </w:tc>
        <w:tc>
          <w:tcPr>
            <w:tcW w:w="962" w:type="pct"/>
            <w:vAlign w:val="center"/>
          </w:tcPr>
          <w:p w14:paraId="445868C3" w14:textId="028BF44C" w:rsidR="00FF1A63" w:rsidRDefault="007B50D5" w:rsidP="007B50D5">
            <w:pPr>
              <w:jc w:val="right"/>
            </w:pPr>
            <w:r w:rsidRPr="007B50D5">
              <w:t>5 574,47</w:t>
            </w:r>
            <w:r>
              <w:t xml:space="preserve"> Kč</w:t>
            </w:r>
          </w:p>
        </w:tc>
      </w:tr>
      <w:tr w:rsidR="00FF1A63" w14:paraId="217691DA" w14:textId="0EB7DD14" w:rsidTr="00756C88">
        <w:trPr>
          <w:trHeight w:val="612"/>
          <w:jc w:val="center"/>
        </w:trPr>
        <w:tc>
          <w:tcPr>
            <w:tcW w:w="1204" w:type="pct"/>
            <w:vAlign w:val="center"/>
          </w:tcPr>
          <w:p w14:paraId="30726678" w14:textId="77777777" w:rsidR="00FF1A63" w:rsidRDefault="00FF1A63">
            <w:pPr>
              <w:jc w:val="center"/>
              <w:rPr>
                <w:b/>
                <w:bCs/>
              </w:rPr>
            </w:pPr>
            <w:r>
              <w:rPr>
                <w:b/>
                <w:bCs/>
              </w:rPr>
              <w:t>Kupní cena</w:t>
            </w:r>
          </w:p>
        </w:tc>
        <w:tc>
          <w:tcPr>
            <w:tcW w:w="2834" w:type="pct"/>
            <w:gridSpan w:val="3"/>
            <w:vAlign w:val="center"/>
          </w:tcPr>
          <w:p w14:paraId="2FD1DF76" w14:textId="721965F9" w:rsidR="00FF1A63" w:rsidRDefault="00FF1A63" w:rsidP="00756C88">
            <w:pPr>
              <w:jc w:val="right"/>
              <w:rPr>
                <w:i/>
                <w:sz w:val="16"/>
                <w:szCs w:val="16"/>
                <w:highlight w:val="yellow"/>
                <w:lang w:eastAsia="en-US"/>
              </w:rPr>
            </w:pPr>
            <w:r>
              <w:t>657 985</w:t>
            </w:r>
            <w:r w:rsidRPr="00512430">
              <w:t>,00 Kč</w:t>
            </w:r>
          </w:p>
        </w:tc>
        <w:tc>
          <w:tcPr>
            <w:tcW w:w="962" w:type="pct"/>
            <w:vAlign w:val="center"/>
          </w:tcPr>
          <w:p w14:paraId="3EA912BF" w14:textId="301A107B" w:rsidR="00FF1A63" w:rsidRDefault="007B50D5" w:rsidP="007B50D5">
            <w:pPr>
              <w:jc w:val="right"/>
            </w:pPr>
            <w:r w:rsidRPr="007B50D5">
              <w:t>796 161,85</w:t>
            </w:r>
            <w:r>
              <w:t xml:space="preserve"> Kč</w:t>
            </w:r>
          </w:p>
        </w:tc>
      </w:tr>
    </w:tbl>
    <w:p w14:paraId="27812404" w14:textId="77777777" w:rsidR="00756C88" w:rsidRPr="00756C88" w:rsidRDefault="00756C88" w:rsidP="00756C88">
      <w:pPr>
        <w:pStyle w:val="Nadpis2"/>
        <w:numPr>
          <w:ilvl w:val="0"/>
          <w:numId w:val="0"/>
        </w:numPr>
        <w:ind w:left="786"/>
        <w:rPr>
          <w:color w:val="000000" w:themeColor="text1"/>
        </w:rPr>
      </w:pPr>
    </w:p>
    <w:p w14:paraId="38A5CA06" w14:textId="7AAF05DF" w:rsidR="00C139DD" w:rsidRDefault="00C4061B">
      <w:pPr>
        <w:pStyle w:val="Nadpis2"/>
        <w:tabs>
          <w:tab w:val="num" w:pos="576"/>
        </w:tabs>
        <w:ind w:left="786"/>
        <w:rPr>
          <w:color w:val="000000" w:themeColor="text1"/>
        </w:rPr>
      </w:pPr>
      <w:r>
        <w:lastRenderedPageBreak/>
        <w:t xml:space="preserve">Výše uvedené dílčí ceny jsou sjednány dohodou Smluvních stran podle zákona č. 526/1990 Sb., o cenách, ve znění pozdějších předpisů, a jsou cenami maximálními a nepřekročitelnými, které zahrnují veškeré náklady spojené s realizací jednotlivých částí Předmětu koupě včetně nákladů souvisejících s případnými celními poplatky, dopravou </w:t>
      </w:r>
      <w:r>
        <w:rPr>
          <w:color w:val="000000" w:themeColor="text1"/>
        </w:rPr>
        <w:t>do Místa plnění apod.</w:t>
      </w:r>
    </w:p>
    <w:p w14:paraId="4B440EC3" w14:textId="77777777" w:rsidR="00C139DD" w:rsidRDefault="00C4061B">
      <w:pPr>
        <w:pStyle w:val="Nadpis2"/>
        <w:tabs>
          <w:tab w:val="num" w:pos="576"/>
        </w:tabs>
        <w:ind w:left="786"/>
        <w:rPr>
          <w:color w:val="000000" w:themeColor="text1"/>
        </w:rPr>
      </w:pPr>
      <w:r>
        <w:rPr>
          <w:color w:val="000000" w:themeColor="text1"/>
        </w:rPr>
        <w:t>Předmětem koupě jsou i plnění dle kódu celního sazebníku 8471 30 00 (notebooky), proto se při splnění následujících podmínek uplatní režim přenesené daňové povinnosti.</w:t>
      </w:r>
    </w:p>
    <w:p w14:paraId="0CF72CBA" w14:textId="77777777" w:rsidR="00C139DD" w:rsidRDefault="00C4061B">
      <w:pPr>
        <w:pStyle w:val="Nadpis2"/>
        <w:tabs>
          <w:tab w:val="num" w:pos="576"/>
        </w:tabs>
        <w:ind w:left="786"/>
        <w:rPr>
          <w:color w:val="000000" w:themeColor="text1"/>
        </w:rPr>
      </w:pPr>
      <w:r>
        <w:rPr>
          <w:color w:val="000000" w:themeColor="text1"/>
        </w:rPr>
        <w:t xml:space="preserve">Pokud </w:t>
      </w:r>
    </w:p>
    <w:p w14:paraId="017BA5E7" w14:textId="77777777" w:rsidR="00C139DD" w:rsidRDefault="00C4061B">
      <w:pPr>
        <w:pStyle w:val="Nadpis3"/>
        <w:rPr>
          <w:color w:val="000000" w:themeColor="text1"/>
        </w:rPr>
      </w:pPr>
      <w:r>
        <w:rPr>
          <w:color w:val="000000" w:themeColor="text1"/>
        </w:rPr>
        <w:t>u dílčí ceny za Předmět koupě uvedený v čl. II odst. 1 písm. a) této Smlouvy překračuje celková částka základu daně veškerého dodávaného vybraného zboží částku 100 000 Kč a zároveň jsou</w:t>
      </w:r>
    </w:p>
    <w:p w14:paraId="7F984995" w14:textId="77777777" w:rsidR="00C139DD" w:rsidRDefault="00C4061B">
      <w:pPr>
        <w:pStyle w:val="Nadpis3"/>
      </w:pPr>
      <w:r>
        <w:t>Prodávající i Kupující ke dni dodání Předmětu koupě uvedeného v čl. II odst. 1 písm. a) této Smlouvy plátci DPH a zároveň</w:t>
      </w:r>
    </w:p>
    <w:p w14:paraId="104BE1F4" w14:textId="77777777" w:rsidR="00C139DD" w:rsidRDefault="00C4061B">
      <w:pPr>
        <w:pStyle w:val="Nadpis3"/>
      </w:pPr>
      <w:r>
        <w:rPr>
          <w:color w:val="000000" w:themeColor="text1"/>
        </w:rPr>
        <w:t>ke dni uskutečnění zdanitelného plnění Kupující jedná jako osoba povinná k dani</w:t>
      </w:r>
    </w:p>
    <w:p w14:paraId="4A280038" w14:textId="77777777" w:rsidR="00C139DD" w:rsidRDefault="00C4061B">
      <w:pPr>
        <w:pStyle w:val="Nadpis3"/>
        <w:numPr>
          <w:ilvl w:val="0"/>
          <w:numId w:val="0"/>
        </w:numPr>
        <w:ind w:left="786"/>
        <w:rPr>
          <w:color w:val="000000" w:themeColor="text1"/>
        </w:rPr>
      </w:pPr>
      <w:r>
        <w:rPr>
          <w:color w:val="000000" w:themeColor="text1"/>
        </w:rPr>
        <w:t>uplatní se ve vztahu k této části Předmětu koupě režim přenesení daňové povinnosti ve smyslu § 92a a násl. zákona č. 235/2004 Sb., o dani z přidané hodnoty, ve znění pozdějších předpisů (dále jen „ZDPH“). Proto je Prodávající povinen částku odpovídající dani z přidané hodnoty platné ke dni uskutečnění zdanitelného plnění vypočítat, avšak DPH uhradí Kupující.</w:t>
      </w:r>
    </w:p>
    <w:p w14:paraId="7B9D2F1E" w14:textId="77777777" w:rsidR="00C139DD" w:rsidRDefault="00C4061B">
      <w:pPr>
        <w:pStyle w:val="Nadpis2"/>
        <w:tabs>
          <w:tab w:val="num" w:pos="576"/>
        </w:tabs>
        <w:ind w:left="786"/>
        <w:rPr>
          <w:color w:val="000000" w:themeColor="text1"/>
        </w:rPr>
      </w:pPr>
      <w:r>
        <w:rPr>
          <w:color w:val="000000" w:themeColor="text1"/>
        </w:rPr>
        <w:t>K dílčí ceně za část Předmětu koupě, u které se neuplatní institut přenesené daňové povinnosti, bude v případě, že je Prodávající ke dni uskutečnění zdanitelného plnění plátcem DPH, připočítána DPH dle sazby daně platné ke dni uskutečnění zdanitelného plnění.</w:t>
      </w:r>
    </w:p>
    <w:p w14:paraId="58259CBD" w14:textId="2BCA8337" w:rsidR="00C139DD" w:rsidRDefault="00C4061B">
      <w:pPr>
        <w:pStyle w:val="Nadpis2"/>
        <w:tabs>
          <w:tab w:val="num" w:pos="576"/>
        </w:tabs>
        <w:ind w:left="786"/>
      </w:pPr>
      <w:r>
        <w:t>Prodávající vystaví po předání Předmětu koupě Kupujícímu fakturu. Fakturu doručí Prodávající Kupujícímu do 5 pracovních dnů od předání Předmětu koupě. Ve faktuře bude rozepsaná cena účtovaná za jednotlivé části Předmětu koupě, účelem této povinnosti je zajistit, aby z faktury bylo patrné, zda se uplatní režim přenesení daňové povinnosti. Přílohou faktury bude kopie dodacího listu nebo kopie více dodacích listů na Předmět koupě, který bude potvrzen Kupujícím.</w:t>
      </w:r>
    </w:p>
    <w:p w14:paraId="76A911A1" w14:textId="6BF0CF70" w:rsidR="00C139DD" w:rsidRDefault="00C4061B">
      <w:pPr>
        <w:pStyle w:val="Nadpis2"/>
        <w:tabs>
          <w:tab w:val="num" w:pos="576"/>
        </w:tabs>
        <w:ind w:left="786"/>
      </w:pPr>
      <w:r>
        <w:t xml:space="preserve">Faktura bude obsahovat náležitosti obchodní listiny dle § 435 Občanského zákoníku a v případě, že jde o daňový doklad, také náležitosti dle </w:t>
      </w:r>
      <w:r w:rsidR="00D12639">
        <w:t>ZDPH</w:t>
      </w:r>
      <w:r>
        <w:t>. Faktura musí dále obsahovat:</w:t>
      </w:r>
    </w:p>
    <w:p w14:paraId="4F164CCA" w14:textId="77777777" w:rsidR="00C139DD" w:rsidRDefault="00C4061B">
      <w:pPr>
        <w:pStyle w:val="Nadpis3"/>
      </w:pPr>
      <w:r>
        <w:t>identifikaci Předmětu koupě podle Smlouvy;</w:t>
      </w:r>
    </w:p>
    <w:p w14:paraId="258CD29A" w14:textId="77777777" w:rsidR="00C139DD" w:rsidRDefault="00C4061B">
      <w:pPr>
        <w:pStyle w:val="Nadpis3"/>
      </w:pPr>
      <w:r>
        <w:t xml:space="preserve">uvedení dílčích cen; </w:t>
      </w:r>
    </w:p>
    <w:p w14:paraId="26782308" w14:textId="77777777" w:rsidR="00C139DD" w:rsidRDefault="00C4061B">
      <w:pPr>
        <w:pStyle w:val="Nadpis3"/>
      </w:pPr>
      <w:r>
        <w:t>zakázkové číslo Smlouvy, které slouží jako identifikátor platby;</w:t>
      </w:r>
    </w:p>
    <w:p w14:paraId="2B6AB5C3" w14:textId="77777777" w:rsidR="00F15AC7" w:rsidRDefault="00C4061B">
      <w:pPr>
        <w:pStyle w:val="Nadpis3"/>
      </w:pPr>
      <w:r>
        <w:t>úplné bankovní spojení Prodávajícího</w:t>
      </w:r>
      <w:r w:rsidR="00F15AC7">
        <w:rPr>
          <w:lang w:val="en-GB"/>
        </w:rPr>
        <w:t>;</w:t>
      </w:r>
    </w:p>
    <w:p w14:paraId="69E4AF83" w14:textId="3A7E07F1" w:rsidR="00C139DD" w:rsidRDefault="00F15AC7">
      <w:pPr>
        <w:pStyle w:val="Nadpis3"/>
      </w:pPr>
      <w:r>
        <w:t>číslo projektu, které bude odpovídat číslu projektu uvedenému u Kupujícího v příloze č. 4 Výzvy k podání nabídky v zadávacích podmínkách veřejné zakázky</w:t>
      </w:r>
      <w:r w:rsidR="00C4061B">
        <w:t>.</w:t>
      </w:r>
    </w:p>
    <w:p w14:paraId="052E2AFB" w14:textId="39C55D4C" w:rsidR="00C139DD" w:rsidRDefault="00C4061B">
      <w:pPr>
        <w:pStyle w:val="Nadpis2"/>
        <w:tabs>
          <w:tab w:val="num" w:pos="576"/>
        </w:tabs>
        <w:ind w:left="786"/>
      </w:pPr>
      <w:r>
        <w:t>Splatnos</w:t>
      </w:r>
      <w:r w:rsidR="009F2A14">
        <w:t>t řádně vystavené faktury činí 6</w:t>
      </w:r>
      <w:r>
        <w:t xml:space="preserve">0 kalendářních dnů ode dne doručení Kupujícímu na adresu uvedenou v záhlaví této Smlouvy u Kupujícího, nebo do </w:t>
      </w:r>
      <w:r w:rsidR="00D12639">
        <w:t xml:space="preserve">jeho </w:t>
      </w:r>
      <w:r>
        <w:t>datové schránky.</w:t>
      </w:r>
    </w:p>
    <w:p w14:paraId="5733925C" w14:textId="19A288DA" w:rsidR="00C139DD" w:rsidRDefault="00C4061B">
      <w:pPr>
        <w:pStyle w:val="Nadpis2"/>
        <w:tabs>
          <w:tab w:val="num" w:pos="576"/>
        </w:tabs>
        <w:ind w:left="786"/>
      </w:pPr>
      <w:r>
        <w:t>Kupující má právo fakturu Prodávajícímu před uplynutím lhůty splatnosti vrátit, aniž by došlo k prodlení s její úhradou, obsahuje-li nesprávné náležitosti nebo údaje, chybí-li na faktuře některá z náležitostí nebo údajů nebo chybí-li kopie dodacího listu. Ode dne doručení opravené faktury běží Kupujícímu</w:t>
      </w:r>
      <w:r w:rsidR="009F2A14">
        <w:t xml:space="preserve"> nová lhůta splatnosti v délce 6</w:t>
      </w:r>
      <w:r>
        <w:t>0 kalendářních dnů.</w:t>
      </w:r>
    </w:p>
    <w:p w14:paraId="7082AF95" w14:textId="77777777" w:rsidR="00C139DD" w:rsidRDefault="00C4061B">
      <w:pPr>
        <w:pStyle w:val="Nadpis2"/>
        <w:tabs>
          <w:tab w:val="num" w:pos="576"/>
        </w:tabs>
        <w:ind w:left="786"/>
      </w:pPr>
      <w:r>
        <w:t>V případě, že Prodávající je plátcem DPH registrovaným v České republice, uplatní se a jsou pro něj závazná ujednání následujících odstavců 12 až 15 tohoto článku.</w:t>
      </w:r>
    </w:p>
    <w:p w14:paraId="6096D100" w14:textId="77777777" w:rsidR="00C139DD" w:rsidRDefault="00C4061B">
      <w:pPr>
        <w:pStyle w:val="Nadpis2"/>
        <w:tabs>
          <w:tab w:val="num" w:pos="576"/>
        </w:tabs>
        <w:ind w:left="786"/>
      </w:pPr>
      <w:r>
        <w:t xml:space="preserve">Prodávající je povinen bezprostředně, nejpozději do 2 (slovy: dvou) pracovních dnů od </w:t>
      </w:r>
      <w:r>
        <w:lastRenderedPageBreak/>
        <w:t>zjištění insolvence, popř. od vydání rozhodnutí správce daně, že je Prodávající nespolehlivým plátcem dle § 106a ZDPH, oznámit takovou skutečnost prokazatelně Kupujícímu, příjemci zdanitelného plnění. Porušení této povinnosti je Smluvními stranami považováno za podstatné porušení této Smlouvy.</w:t>
      </w:r>
    </w:p>
    <w:p w14:paraId="14DCE02B" w14:textId="77777777" w:rsidR="00C139DD" w:rsidRDefault="00C4061B">
      <w:pPr>
        <w:pStyle w:val="Nadpis2"/>
        <w:tabs>
          <w:tab w:val="num" w:pos="576"/>
        </w:tabs>
        <w:ind w:left="786"/>
      </w:pPr>
      <w:r>
        <w:t>Prodávající se zavazuje, že bankovní účet jím určený pro zaplacení jakéhokoliv závazku Kupujícího na základě této smlouvy bude od data podpisu této smlouvy do ukončení její platnosti zveřejněn způsobem umožňující dálkový přístup ve smyslu § 98 ZDPH, v opačném případě je Prodávající povinen sdělit Kupujícímu jiný bankovní účet řádně zveřejněný ve smyslu § 98 ZDPH. Pokud bude Prodávající označen správcem daně za nespolehlivého plátce ve smyslu § 106a ZDPH, zavazuje se zároveň o této skutečnosti neprodleně informovat Kupujícího spolu s uvedením data, kdy tato skutečnost nastala.</w:t>
      </w:r>
    </w:p>
    <w:p w14:paraId="78908C10" w14:textId="77777777" w:rsidR="00C139DD" w:rsidRDefault="00C4061B">
      <w:pPr>
        <w:pStyle w:val="Nadpis2"/>
        <w:tabs>
          <w:tab w:val="num" w:pos="576"/>
        </w:tabs>
        <w:ind w:left="786"/>
      </w:pPr>
      <w:r>
        <w:t xml:space="preserve">Pokud Kupujícímu vznikne podle § 109 ZDPH ručení za nezaplacenou DPH z přijatého zdanitelného plnění od Prodávajícího, nebo se Kupující důvodně domnívá, že tyto skutečnosti nastaly nebo mohly nastat, má Kupující právo bez souhlasu prodávajícího uplatnit postup zvláštního zajištění daně, tzn., že je Kupující oprávněn odvést částku DPH podle faktury – daňového dokladu vystavené Prodávajícím přímo příslušnému finančnímu úřadu, a to v návaznosti na § 109 a § 109a ZDPH. </w:t>
      </w:r>
    </w:p>
    <w:p w14:paraId="5C5A35BA" w14:textId="77777777" w:rsidR="00C139DD" w:rsidRDefault="00C4061B">
      <w:pPr>
        <w:pStyle w:val="Nadpis2"/>
        <w:tabs>
          <w:tab w:val="num" w:pos="576"/>
        </w:tabs>
        <w:ind w:left="786"/>
      </w:pPr>
      <w:r>
        <w:t>Úhradou DPH na účet finančního úřadu se pohledávka Prodávajícího vůči Kupujícímu v částce uhrazené DPH považuje bez ohledu na další ustanovení smlouvy za uhrazenou. Zároveň je Kupující povinen Prodávajícího o takové úhradě bezprostředně po jejím uskutečnění písemně informovat.</w:t>
      </w:r>
    </w:p>
    <w:p w14:paraId="0BCBFA6A" w14:textId="77777777" w:rsidR="00C139DD" w:rsidRDefault="00C4061B">
      <w:pPr>
        <w:pStyle w:val="Nadpis1"/>
        <w:ind w:left="3904"/>
        <w:jc w:val="left"/>
      </w:pPr>
      <w:r>
        <w:t>Práva a povinnosti Smluvních stran</w:t>
      </w:r>
    </w:p>
    <w:p w14:paraId="2B525FD1" w14:textId="77777777" w:rsidR="00C139DD" w:rsidRDefault="00C4061B">
      <w:pPr>
        <w:pStyle w:val="Nadpis2"/>
        <w:tabs>
          <w:tab w:val="num" w:pos="576"/>
        </w:tabs>
        <w:ind w:left="786"/>
      </w:pPr>
      <w:r>
        <w:t>Povinnosti Kupujícího</w:t>
      </w:r>
    </w:p>
    <w:p w14:paraId="1232AE51" w14:textId="77777777" w:rsidR="00C139DD" w:rsidRDefault="00C4061B">
      <w:pPr>
        <w:pStyle w:val="Nadpis3"/>
      </w:pPr>
      <w:r>
        <w:t>Kupující dohodne s Prodávajícím rozsah oprávnění Prodávajícího ke vstupu a vjezdu do objektu na adrese, kde má být předán Předmět koupě.</w:t>
      </w:r>
    </w:p>
    <w:p w14:paraId="3D5627A7" w14:textId="77777777" w:rsidR="00C139DD" w:rsidRDefault="00C4061B">
      <w:pPr>
        <w:pStyle w:val="Nadpis3"/>
      </w:pPr>
      <w:r>
        <w:t xml:space="preserve">Kupující se zavazuje vytvořit podmínky pro řádné a bezpečné předání Předmětu koupě a poskytnout potřebnou součinnost, kterou lze po něm spravedlivě požadovat při řešení všech záležitostí související s předáním Předmětu koupě. </w:t>
      </w:r>
    </w:p>
    <w:p w14:paraId="2D3BFD6C" w14:textId="77777777" w:rsidR="00C139DD" w:rsidRDefault="00C4061B">
      <w:pPr>
        <w:pStyle w:val="Nadpis3"/>
      </w:pPr>
      <w:r>
        <w:t>Kupující se zavazuje zkontrolovat soulad dodacího listu se skutečně dodaným Předmětem koupě a v případě jakýchkoliv nesrovnalostí uvést všechny výhrady ohledně předávaného Předmětu koupě do dodacího listu. Kupující je dále povinen dodací list podepsat. Nejsou-li na dodacím listu uvedeny žádné výhrady, má se za to, že Kupující Předmět koupě přejímá bez výhrad.</w:t>
      </w:r>
    </w:p>
    <w:p w14:paraId="7175E435" w14:textId="77777777" w:rsidR="00C139DD" w:rsidRDefault="00C4061B">
      <w:pPr>
        <w:pStyle w:val="Nadpis3"/>
      </w:pPr>
      <w:r>
        <w:t>Kupující se zavazuje zaplatit včas Kupní cenu.</w:t>
      </w:r>
    </w:p>
    <w:p w14:paraId="52C0CC80" w14:textId="77777777" w:rsidR="00C139DD" w:rsidRDefault="00C4061B">
      <w:pPr>
        <w:pStyle w:val="Nadpis2"/>
        <w:tabs>
          <w:tab w:val="num" w:pos="576"/>
        </w:tabs>
        <w:ind w:left="786"/>
      </w:pPr>
      <w:r>
        <w:t>Povinnosti Prodávajícího</w:t>
      </w:r>
    </w:p>
    <w:p w14:paraId="49721F18" w14:textId="77777777" w:rsidR="00C139DD" w:rsidRDefault="00C4061B">
      <w:pPr>
        <w:pStyle w:val="Nadpis3"/>
      </w:pPr>
      <w:r>
        <w:t>Prodávající se zavazuje včas předat Kupujícímu Předmět koupě a převést k Předmětu koupě vlastnické právo na Kupujícího.</w:t>
      </w:r>
    </w:p>
    <w:p w14:paraId="3A1FB855" w14:textId="77777777" w:rsidR="00C139DD" w:rsidRDefault="00C4061B">
      <w:pPr>
        <w:pStyle w:val="Nadpis3"/>
      </w:pPr>
      <w:r>
        <w:t xml:space="preserve">Prodávající při odevzdání Předmětu koupě předloží Kupujícímu dodací list ve dvou vyhotoveních. </w:t>
      </w:r>
    </w:p>
    <w:p w14:paraId="6DEF5BD5" w14:textId="77777777" w:rsidR="00C139DD" w:rsidRDefault="00C4061B">
      <w:pPr>
        <w:pStyle w:val="Nadpis3"/>
      </w:pPr>
      <w:r>
        <w:t>Dodací list bude obsahovat především označení Kupujícího a Prodávajícího, přesný popis Předmětu koupě, počet předávaných kusů (tzn. 1 předávaný kus zahrnuje i veškeré jeho příslušenství</w:t>
      </w:r>
      <w:r>
        <w:rPr>
          <w:b/>
        </w:rPr>
        <w:t>:</w:t>
      </w:r>
      <w:r>
        <w:t xml:space="preserve"> </w:t>
      </w:r>
      <w:r>
        <w:rPr>
          <w:color w:val="000000" w:themeColor="text1"/>
        </w:rPr>
        <w:t xml:space="preserve">jako např. </w:t>
      </w:r>
      <w:r>
        <w:t>napájecí kabel…), informaci o tom, zda Prodávající předal Předmět koupě řádně a včas a dále předepsaná jména osob oprávněných k předání Předmětu koupě obou Smluvních stran. Není-li oprávněná osoba Kupujícího určena v Příloze č. 2 Smlouvy, pak je jí Kontaktní osoba Kupujícího. Obsah dodacího listu bude potvrzen čitelnými vlastnoručními podpisy oprávněných osob obou Smluvních stran.</w:t>
      </w:r>
    </w:p>
    <w:p w14:paraId="708E6DE3" w14:textId="74901351" w:rsidR="006E5B47" w:rsidRPr="006E5B47" w:rsidRDefault="00C4061B" w:rsidP="00B5689E">
      <w:pPr>
        <w:pStyle w:val="Nadpis3"/>
      </w:pPr>
      <w:r>
        <w:lastRenderedPageBreak/>
        <w:t xml:space="preserve">Prodávající je ve smyslu ustanovení § 2 písm. e) zákona č. 320/2001 Sb., o finanční kontrole ve veřejné správě a o změně některých zákonů (zákon o finanční kontrole), ve znění pozdějších předpisů (dále „ZFK“), osobou povinnou spolupůsobit při výkonu finanční kontroly prováděné v souvislosti s úhradou zboží nebo služeb z veřejných výdajů nebo z veřejné finanční podpory, tj. Prodávající je povinen podle § 13 ZFK poskytnout požadované informace a dokumentaci </w:t>
      </w:r>
      <w:r w:rsidR="009F2A14" w:rsidRPr="009F2A14">
        <w:t>zaměstnancům nebo z</w:t>
      </w:r>
      <w:r w:rsidR="00361467">
        <w:t>mocněncům pověřených orgánů (Ministerstva pro místní rozvoj</w:t>
      </w:r>
      <w:r w:rsidR="009F2A14" w:rsidRPr="009F2A14">
        <w:t>, Ministerstva průmyslu a obchodu, Ministerstva financí, Evropské komise, Evropského účetního dvora, Nejvyššího kontrolního úřadu, příslušného orgánu finanční správy a dalších oprávněných orgánů státní správy)</w:t>
      </w:r>
      <w:r>
        <w:t xml:space="preserve"> a vytvořit kontrolním orgánům podmínky k provedení kontroly vztahující se k předmětné veřejné zakázce a poskytnout jim součinnost.</w:t>
      </w:r>
    </w:p>
    <w:p w14:paraId="1188170C" w14:textId="40AE8CC3" w:rsidR="00C139DD" w:rsidRDefault="00C4061B">
      <w:pPr>
        <w:pStyle w:val="Nadpis3"/>
      </w:pPr>
      <w:r>
        <w:t>Prodávající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minimálně do roku 203</w:t>
      </w:r>
      <w:r w:rsidR="00512969">
        <w:t>5</w:t>
      </w:r>
      <w:r>
        <w:t>. Po tuto dobu je Prodávající povinen umožnit osobám oprávněným k výkonu kontroly projektů provést kontrolu dokladů souvisejících s realizací veřejné zakázky.</w:t>
      </w:r>
    </w:p>
    <w:p w14:paraId="2CE8F1D7" w14:textId="759839DD" w:rsidR="00C139DD" w:rsidRDefault="00C4061B">
      <w:pPr>
        <w:pStyle w:val="Nadpis2"/>
        <w:tabs>
          <w:tab w:val="num" w:pos="576"/>
        </w:tabs>
        <w:ind w:left="786"/>
      </w:pPr>
      <w:r>
        <w:t xml:space="preserve">Smluvní strany si v souladu s § 100 odst. 1 Zákona vyhrazují </w:t>
      </w:r>
      <w:r w:rsidR="00176F51">
        <w:t>změnu závazku</w:t>
      </w:r>
      <w:r>
        <w:t xml:space="preserve"> spočívající ve změně položky či komponenty uvedené v Příloze č. 1 této Smlouvy (např. procesoru), pokud by vznikly problémy s její dostupností. Pro provedení změny je nutný souhlas obou Smluvních stran, upravené plnění musí být v souladu s původními zadávacími podmínkami a oproti uzavřené smlouvě nesmí dojít k objektivnímu zhoršení parametrů plnění z pohledu Kupujícího. </w:t>
      </w:r>
    </w:p>
    <w:p w14:paraId="7F928DB5" w14:textId="77777777" w:rsidR="00C139DD" w:rsidRDefault="00C4061B">
      <w:pPr>
        <w:pStyle w:val="Nadpis1"/>
        <w:spacing w:before="120"/>
        <w:ind w:left="3904"/>
        <w:jc w:val="left"/>
      </w:pPr>
      <w:r>
        <w:t>Vlastnické právo</w:t>
      </w:r>
    </w:p>
    <w:p w14:paraId="34535955" w14:textId="77777777" w:rsidR="00C139DD" w:rsidRDefault="00C4061B" w:rsidP="008F3595">
      <w:pPr>
        <w:pStyle w:val="Nadpis2"/>
        <w:numPr>
          <w:ilvl w:val="0"/>
          <w:numId w:val="0"/>
        </w:numPr>
        <w:ind w:left="786"/>
      </w:pPr>
      <w:r>
        <w:t>Vlastnické právo k Předmětu koupě se převádí jeho předáním Kupujícímu, tj. podpisem dodacího listu, tak jak je uvedeno v čl. V odst. 2 písm. c) této Smlouvy bez ohledu na případné výhrady. Bude-li Prodávající plnit po částech, převádí se vlastnické právo ke každé předané movité věci zvlášť v době předání.</w:t>
      </w:r>
    </w:p>
    <w:p w14:paraId="7C96E007" w14:textId="77777777" w:rsidR="00C139DD" w:rsidRDefault="00C4061B">
      <w:pPr>
        <w:pStyle w:val="Nadpis1"/>
        <w:ind w:left="3904"/>
        <w:jc w:val="left"/>
      </w:pPr>
      <w:r>
        <w:t>Práva duševního vlastnictví</w:t>
      </w:r>
    </w:p>
    <w:p w14:paraId="431D57B1" w14:textId="77777777" w:rsidR="00C139DD" w:rsidRDefault="00C4061B" w:rsidP="008F3595">
      <w:pPr>
        <w:pStyle w:val="Nadpis2"/>
        <w:numPr>
          <w:ilvl w:val="0"/>
          <w:numId w:val="0"/>
        </w:numPr>
        <w:ind w:left="786"/>
      </w:pPr>
      <w:r>
        <w:t>Cena Předmětu koupě zahrnuje i případnou odměnu za poskytnutí licence k užití Předmětu koupě a jeho příslušenství.</w:t>
      </w:r>
    </w:p>
    <w:p w14:paraId="1374764F" w14:textId="77777777" w:rsidR="00C139DD" w:rsidRDefault="00C4061B">
      <w:pPr>
        <w:pStyle w:val="Nadpis1"/>
        <w:ind w:left="3904"/>
        <w:jc w:val="left"/>
      </w:pPr>
      <w:r>
        <w:t xml:space="preserve">Odpovědnost za vady  </w:t>
      </w:r>
    </w:p>
    <w:p w14:paraId="75EB5E22" w14:textId="4EFB73FE" w:rsidR="00C139DD" w:rsidRDefault="00C4061B" w:rsidP="00F614AD">
      <w:pPr>
        <w:pStyle w:val="Nadpis2"/>
        <w:tabs>
          <w:tab w:val="num" w:pos="576"/>
        </w:tabs>
        <w:ind w:left="786"/>
      </w:pPr>
      <w:r>
        <w:t xml:space="preserve">Prodávající prohlašuje, že Předmět koupě, nebo jeho část nemá žádné vady. </w:t>
      </w:r>
      <w:r w:rsidR="00F614AD">
        <w:t>Prodávající prohlašuje, že jakékoliv plnění dle této Smlouvy je bez právních vad, zejména že není a nebude zatíženo žádnými právy třetích osob, z nichž by pro Kupujícího vyplynul jakýkoliv finanční nebo jiný závazek ve prospěch třetí strany. V případě, že bude toto oznámení nepravdivé, je Prodávající v plném rozsahu odpovědný za případné následky takového jednání, přičemž právo Kupujícího na případnou náhradu škody a smluvní pokutu zůstává nedotčeno.</w:t>
      </w:r>
    </w:p>
    <w:p w14:paraId="61872959" w14:textId="77777777" w:rsidR="00C139DD" w:rsidRDefault="00C4061B">
      <w:pPr>
        <w:pStyle w:val="Nadpis2"/>
        <w:tabs>
          <w:tab w:val="num" w:pos="576"/>
        </w:tabs>
        <w:ind w:left="786"/>
      </w:pPr>
      <w:r>
        <w:t xml:space="preserve">Smluvní strany si ujednaly záruku za jakost ve smyslu § 2113 a násl. Občanského zákoníku v délce 60 měsíců ode dne převzetí Předmětu koupě, nebo jeho části (není-li v Příloze č. 1 Smlouvy stanoveno jinak), </w:t>
      </w:r>
      <w:bookmarkStart w:id="0" w:name="_Hlk11739006"/>
      <w:r>
        <w:t>tj. ode dne podpisu příslušného dodacího listu bez ohledu na případné výhrady</w:t>
      </w:r>
      <w:bookmarkEnd w:id="0"/>
      <w:r>
        <w:t>.</w:t>
      </w:r>
    </w:p>
    <w:p w14:paraId="194A23DC" w14:textId="77777777" w:rsidR="00C139DD" w:rsidRDefault="00C4061B">
      <w:pPr>
        <w:pStyle w:val="Nadpis2"/>
        <w:tabs>
          <w:tab w:val="num" w:pos="576"/>
        </w:tabs>
        <w:ind w:left="786"/>
      </w:pPr>
      <w:r>
        <w:t>Kupující je oprávněn uplatnit vady u Prodávajícího kdykoliv během záruční doby bez ohledu na to, kdy Kupující takové vady zjistil nebo mohl zjistit. Pro vyloučení pochybností se sjednává, že převzetím jednotlivých částí Předmětu koupě není dotčeno právo Kupujícího uplatňovat práva z vad, které byly zjistitelné, ale nebyly zjištěny při převzetí.</w:t>
      </w:r>
    </w:p>
    <w:p w14:paraId="4C4E714F" w14:textId="77777777" w:rsidR="00C139DD" w:rsidRDefault="00C4061B">
      <w:pPr>
        <w:pStyle w:val="Nadpis2"/>
        <w:tabs>
          <w:tab w:val="num" w:pos="576"/>
        </w:tabs>
        <w:ind w:left="786"/>
      </w:pPr>
      <w:r>
        <w:lastRenderedPageBreak/>
        <w:t xml:space="preserve">Prodávající se zavazuje po dobu trvání záruky bezplatně odstranit vady Předmětu koupě, které se vyskytly po jeho předání, a to maximálně do 24 hodin v pracovní dny (next business day) v pracovní době od prokazatelného nahlášení vady Kontaktní osobě Prodávajícího. Pracovní doba se pro účely této Smlouvy stanovuje od 9,00 hod. do 16,00 hod. v pracovní dny. </w:t>
      </w:r>
      <w:r>
        <w:rPr>
          <w:bCs w:val="0"/>
          <w:szCs w:val="24"/>
        </w:rPr>
        <w:t>Prokazatelným nahlášením se pro účely této Smlouvy stanovuje e</w:t>
      </w:r>
      <w:r>
        <w:rPr>
          <w:bCs w:val="0"/>
          <w:szCs w:val="24"/>
        </w:rPr>
        <w:noBreakHyphen/>
        <w:t>mailová zpráva zaslaná na adresu uvedenou v odst. 5 tohoto článku.</w:t>
      </w:r>
    </w:p>
    <w:p w14:paraId="785DBAFD" w14:textId="06CBA0E6" w:rsidR="00C139DD" w:rsidRDefault="00C4061B">
      <w:pPr>
        <w:pStyle w:val="Nadpis2"/>
        <w:tabs>
          <w:tab w:val="num" w:pos="576"/>
        </w:tabs>
        <w:ind w:left="786"/>
      </w:pPr>
      <w:r>
        <w:t>Vada bude nahlášena prostřednictvím Kontaktní osoby v pracovní době Kupujícího ústně na tel. č.</w:t>
      </w:r>
      <w:r w:rsidR="00422E01">
        <w:t xml:space="preserve"> </w:t>
      </w:r>
      <w:r w:rsidR="00422E01">
        <w:rPr>
          <w:iCs/>
        </w:rPr>
        <w:t>+420 910 973 510</w:t>
      </w:r>
      <w:r w:rsidR="00422E01">
        <w:t xml:space="preserve"> </w:t>
      </w:r>
      <w:r>
        <w:t>a nejpozději bezprostředně poté i písemně prostřednictvím e</w:t>
      </w:r>
      <w:r>
        <w:noBreakHyphen/>
        <w:t xml:space="preserve">mailové zprávy zaslané na adresu </w:t>
      </w:r>
      <w:hyperlink r:id="rId8" w:history="1">
        <w:r w:rsidR="00422E01" w:rsidRPr="00914C28">
          <w:rPr>
            <w:rStyle w:val="Hypertextovodkaz"/>
            <w:iCs/>
          </w:rPr>
          <w:t>servis.praha@aricoma.com</w:t>
        </w:r>
      </w:hyperlink>
      <w:r>
        <w:t xml:space="preserve">. Vadu lze nahlásit prostřednictvím Kontaktní osoby i po pracovní době Kupujícího, a to pouze písemně prostřednictvím e-mailové zprávy zaslané na adresu </w:t>
      </w:r>
      <w:hyperlink r:id="rId9" w:history="1">
        <w:r w:rsidR="00422E01" w:rsidRPr="00914C28">
          <w:rPr>
            <w:rStyle w:val="Hypertextovodkaz"/>
            <w:iCs/>
          </w:rPr>
          <w:t>servis.praha@aricoma.com</w:t>
        </w:r>
      </w:hyperlink>
      <w:r>
        <w:t xml:space="preserve">. Pro vadu nahlášenou po pracovní době je rozhodným časem prokazujícím nahlášení vady považován čas v 8,00 hod. následujícího pracovního dne po dni nahlášení.  </w:t>
      </w:r>
    </w:p>
    <w:p w14:paraId="3EDB6D34" w14:textId="77777777" w:rsidR="00C139DD" w:rsidRDefault="00C4061B">
      <w:pPr>
        <w:pStyle w:val="Nadpis2"/>
        <w:tabs>
          <w:tab w:val="num" w:pos="576"/>
        </w:tabs>
        <w:ind w:left="786"/>
      </w:pPr>
      <w:r>
        <w:t xml:space="preserve">V případě neodstranitelné vady Předmětu koupě bude tento vadný kus Předmětu koupě nahrazen kusem novým, a to do 5 pracovních dní od prokazatelného nahlášení vady způsobem dle tohoto článku. </w:t>
      </w:r>
    </w:p>
    <w:p w14:paraId="02F92FF2" w14:textId="77777777" w:rsidR="00C139DD" w:rsidRDefault="00C4061B">
      <w:pPr>
        <w:pStyle w:val="Nadpis2"/>
        <w:tabs>
          <w:tab w:val="num" w:pos="576"/>
        </w:tabs>
        <w:ind w:left="786"/>
      </w:pPr>
      <w:r>
        <w:t xml:space="preserve">V případě prodlení Prodávajícího s plněním práv Kupujícího z vad Předmětu koupě je Prodávající povinen uhradit Kupujícímu smluvní pokutu uvedenou v článku XI. odst. 2) této Smlouvy. </w:t>
      </w:r>
    </w:p>
    <w:p w14:paraId="2CB11867" w14:textId="4B1CC8B6" w:rsidR="00C139DD" w:rsidRDefault="00C4061B">
      <w:pPr>
        <w:pStyle w:val="Nadpis2"/>
        <w:tabs>
          <w:tab w:val="num" w:pos="576"/>
        </w:tabs>
        <w:ind w:left="786"/>
      </w:pPr>
      <w:r>
        <w:t>Smluvní strany se dohodly, že v případě nahrazení vadného pevného disku novým pevným diskem či příp. výměny celé části Předmětu koupě uvedené v čl. II. odst. 1) písm. a) Smlouvy zůstává původní pevný disk Kupujícímu.</w:t>
      </w:r>
    </w:p>
    <w:p w14:paraId="5E665643" w14:textId="162C9715" w:rsidR="00361467" w:rsidRPr="00045BE1" w:rsidRDefault="00361467" w:rsidP="00361467">
      <w:pPr>
        <w:pStyle w:val="Nadpis2"/>
        <w:tabs>
          <w:tab w:val="num" w:pos="576"/>
        </w:tabs>
        <w:ind w:left="786"/>
      </w:pPr>
      <w:r>
        <w:t xml:space="preserve">Smluvní strany se dohodly, že vadou plnění se rozumí i prokazatelná nezpůsobilost dokovací stanice DSŘ k napájení notebooku DSŘ v nezbytném rozsahu pro jeho stabilní provoz při současném připojení dvou monitorů DSŘ. Prodávající je v takovém případě povinen nahradit dokovací stanici DSŘ (příp. i včetně monitoru, pokud v něm byla integrována) jinou dokovací stanicí, která bude způsobilá stabilní provoz notebooku DSŘ zajistit, a to nejpozději </w:t>
      </w:r>
      <w:r w:rsidR="00787CBC">
        <w:t xml:space="preserve">do </w:t>
      </w:r>
      <w:r>
        <w:t>dvou měsíců od doručení související výzvy.</w:t>
      </w:r>
    </w:p>
    <w:p w14:paraId="2101F7D2" w14:textId="77777777" w:rsidR="00C139DD" w:rsidRDefault="00C4061B">
      <w:pPr>
        <w:pStyle w:val="Nadpis1"/>
        <w:ind w:left="3904"/>
        <w:jc w:val="left"/>
        <w:rPr>
          <w:color w:val="CC0099"/>
        </w:rPr>
      </w:pPr>
      <w:r>
        <w:t>Mlčenlivost</w:t>
      </w:r>
    </w:p>
    <w:p w14:paraId="638CF9F2" w14:textId="68F60344" w:rsidR="00C139DD" w:rsidRDefault="00C4061B">
      <w:pPr>
        <w:pStyle w:val="Nadpis2"/>
        <w:tabs>
          <w:tab w:val="num" w:pos="576"/>
        </w:tabs>
        <w:ind w:left="786"/>
      </w:pPr>
      <w:r>
        <w:t>Smluvní strany se zavazují zachovávat mlčenlivost, podniknout všechny nezbytné kroky k zabezpečení a nezpřístupnit třetím osobám diskrétní informace (dále jen „Diskrétní informace“). Za Diskrétní informace se považují veškeré následující informace:</w:t>
      </w:r>
    </w:p>
    <w:p w14:paraId="325D9DC5" w14:textId="77777777" w:rsidR="00C139DD" w:rsidRDefault="00C4061B">
      <w:pPr>
        <w:pStyle w:val="Nadpis3"/>
      </w:pPr>
      <w:r>
        <w:t>veškeré informace poskytnuté Kupujícím Prodávajícímu v souvislosti s plněním této Smlouvy (pokud nejsou výslovně obsaženy ve znění Smlouvy zveřejňovaném dle čl. XIII. odst. 5 této Smlouvy);</w:t>
      </w:r>
    </w:p>
    <w:p w14:paraId="4C7A54C6" w14:textId="77777777" w:rsidR="00C139DD" w:rsidRDefault="00C4061B">
      <w:pPr>
        <w:pStyle w:val="Nadpis3"/>
      </w:pPr>
      <w:r>
        <w:t>informace, na která se vztahuje zákonem uložená povinnost mlčenlivosti;</w:t>
      </w:r>
    </w:p>
    <w:p w14:paraId="0C131157" w14:textId="77777777" w:rsidR="00C139DD" w:rsidRDefault="00C4061B">
      <w:pPr>
        <w:pStyle w:val="Nadpis3"/>
      </w:pPr>
      <w:r>
        <w:t xml:space="preserve">veškeré další informace, které budou Kupujícím označeny jako důvěrné. </w:t>
      </w:r>
    </w:p>
    <w:p w14:paraId="528CEF2D" w14:textId="77777777" w:rsidR="00C139DD" w:rsidRDefault="00C4061B">
      <w:pPr>
        <w:pStyle w:val="Nadpis2"/>
        <w:tabs>
          <w:tab w:val="num" w:pos="576"/>
        </w:tabs>
        <w:ind w:left="786"/>
      </w:pPr>
      <w:r>
        <w:t>Povinnost zachovávat mlčenlivost, uvedená v předchozím článku, se nevztahuje na informace:</w:t>
      </w:r>
    </w:p>
    <w:p w14:paraId="03C07083" w14:textId="77777777" w:rsidR="00C139DD" w:rsidRDefault="00C4061B">
      <w:pPr>
        <w:pStyle w:val="Nadpis3"/>
      </w:pPr>
      <w:r>
        <w:t>které je Kupující povinen poskytnout třetím osobám podle zákona č. 106/1999 Sb., o svobodném přístupu k informacím, ve znění pozdějších předpisů;</w:t>
      </w:r>
    </w:p>
    <w:p w14:paraId="08A8F8EE" w14:textId="77777777" w:rsidR="00C139DD" w:rsidRDefault="00C4061B">
      <w:pPr>
        <w:pStyle w:val="Nadpis3"/>
      </w:pPr>
      <w:r>
        <w:t>jejichž sdělení vyžaduje jiný právní předpis;</w:t>
      </w:r>
    </w:p>
    <w:p w14:paraId="556283CC" w14:textId="77777777" w:rsidR="00C139DD" w:rsidRDefault="00C4061B">
      <w:pPr>
        <w:pStyle w:val="Nadpis3"/>
      </w:pPr>
      <w:r>
        <w:t>které jsou nebo se stanou všeobecně a veřejně přístupnými jinak než porušením právních povinností ze strany některé ze Smluvních stran;</w:t>
      </w:r>
    </w:p>
    <w:p w14:paraId="3F6711EF" w14:textId="77777777" w:rsidR="00C139DD" w:rsidRDefault="00C4061B">
      <w:pPr>
        <w:pStyle w:val="Nadpis3"/>
      </w:pPr>
      <w:r>
        <w:lastRenderedPageBreak/>
        <w:t>u nichž je Prodávající schopen prokázat, že mu byly známy ještě před přijetím těchto informací od Kupujícího, avšak pouze za podmínky, že se na tyto informace nevztahuje povinnost mlčenlivosti z jiných důvodů;</w:t>
      </w:r>
    </w:p>
    <w:p w14:paraId="7027DC15" w14:textId="77777777" w:rsidR="00C139DD" w:rsidRDefault="00C4061B">
      <w:pPr>
        <w:pStyle w:val="Nadpis3"/>
      </w:pPr>
      <w:r>
        <w:t>které budou Prodávajícímu po uzavření této Smlouvy sděleny bez závazku mlčenlivosti třetí stranou, jež rovněž není ve vztahu k těmto informacím nijak vázána.</w:t>
      </w:r>
    </w:p>
    <w:p w14:paraId="4432FECD" w14:textId="77777777" w:rsidR="00C139DD" w:rsidRDefault="00C4061B">
      <w:pPr>
        <w:pStyle w:val="Nadpis2"/>
        <w:tabs>
          <w:tab w:val="num" w:pos="576"/>
        </w:tabs>
        <w:ind w:left="786"/>
      </w:pPr>
      <w:r>
        <w:t>Jako s diskrétními musí být nakládáno také s informacemi, které splňují podmínky uvedené v odst. 1 tohoto článku, i když byly získané náhodně nebo bez vědomí Kupujícího, a dále s veškerými informacemi získanými od jakékoliv třetí strany, pokud se týkají Kupujícího či plnění této Smlouvy.</w:t>
      </w:r>
    </w:p>
    <w:p w14:paraId="7365CAF9" w14:textId="77777777" w:rsidR="00C139DD" w:rsidRDefault="00C4061B">
      <w:pPr>
        <w:pStyle w:val="Nadpis2"/>
        <w:tabs>
          <w:tab w:val="num" w:pos="576"/>
        </w:tabs>
        <w:ind w:left="786"/>
      </w:pPr>
      <w:r>
        <w:t>Prodávající se zavazuje, že Diskrétní informace užije pouze za účelem plnění této Smlouvy. K jinému použití je třeba předchozí písemné svolení Kupujícího.</w:t>
      </w:r>
    </w:p>
    <w:p w14:paraId="23289DC2" w14:textId="7BBC6C7F" w:rsidR="00C139DD" w:rsidRDefault="00C4061B">
      <w:pPr>
        <w:pStyle w:val="Nadpis2"/>
        <w:tabs>
          <w:tab w:val="num" w:pos="576"/>
        </w:tabs>
        <w:ind w:left="786"/>
      </w:pPr>
      <w:r>
        <w:t xml:space="preserve">Prodávající je povinen svého případného </w:t>
      </w:r>
      <w:r w:rsidR="003E44EE">
        <w:t>pod</w:t>
      </w:r>
      <w:r>
        <w:t>dodavatele zavázat povinností mlčenlivosti a respektováním práv Kupujícího nejméně ve stejném rozsahu, v jakém je v tomto smluvním vztahu zavázán sám.</w:t>
      </w:r>
    </w:p>
    <w:p w14:paraId="6838D325" w14:textId="77777777" w:rsidR="00C139DD" w:rsidRDefault="00C4061B">
      <w:pPr>
        <w:pStyle w:val="Nadpis2"/>
        <w:tabs>
          <w:tab w:val="num" w:pos="576"/>
        </w:tabs>
        <w:ind w:left="786"/>
      </w:pPr>
      <w:r>
        <w:t>Povinnost zachování mlčenlivosti trvá i po ukončení smluvního vztahu po dobu 5 let od skončení záruční doby.</w:t>
      </w:r>
    </w:p>
    <w:p w14:paraId="67093111" w14:textId="77777777" w:rsidR="00C139DD" w:rsidRDefault="00C4061B">
      <w:pPr>
        <w:pStyle w:val="Nadpis1"/>
        <w:ind w:left="3904"/>
        <w:jc w:val="left"/>
      </w:pPr>
      <w:r>
        <w:t>Odpovědnost za škodu</w:t>
      </w:r>
    </w:p>
    <w:p w14:paraId="66AC5854" w14:textId="77777777" w:rsidR="00C139DD" w:rsidRDefault="00C4061B">
      <w:pPr>
        <w:pStyle w:val="Nadpis2"/>
        <w:tabs>
          <w:tab w:val="num" w:pos="576"/>
        </w:tabs>
        <w:ind w:left="786"/>
      </w:pPr>
      <w:r>
        <w:t>Kupující odpovídá za každé zaviněné porušení smluvní povinnosti.</w:t>
      </w:r>
    </w:p>
    <w:p w14:paraId="7CC571B8" w14:textId="77777777" w:rsidR="00C139DD" w:rsidRDefault="00C4061B">
      <w:pPr>
        <w:pStyle w:val="Nadpis2"/>
        <w:tabs>
          <w:tab w:val="num" w:pos="576"/>
        </w:tabs>
        <w:ind w:left="786"/>
      </w:pPr>
      <w:r>
        <w:t>Škodu hradí škůdce v penězích, nežádá-li poškozený uvedení do předešlého stavu.</w:t>
      </w:r>
    </w:p>
    <w:p w14:paraId="3DA88C91" w14:textId="77777777" w:rsidR="00C139DD" w:rsidRDefault="00C4061B">
      <w:pPr>
        <w:pStyle w:val="Nadpis2"/>
        <w:tabs>
          <w:tab w:val="num" w:pos="851"/>
        </w:tabs>
        <w:ind w:left="786"/>
      </w:pPr>
      <w:r>
        <w:t>Náhrada škody je splatná ve lhůtě 30 dnů od doručení písemné výzvy oprávněné Smluvní strany Smluvní straně povinné z náhrady škody.</w:t>
      </w:r>
    </w:p>
    <w:p w14:paraId="06255FBC" w14:textId="77777777" w:rsidR="00C139DD" w:rsidRDefault="00C4061B">
      <w:pPr>
        <w:pStyle w:val="Nadpis1"/>
        <w:ind w:left="4111" w:hanging="567"/>
        <w:jc w:val="left"/>
      </w:pPr>
      <w:r>
        <w:t>Sankce</w:t>
      </w:r>
    </w:p>
    <w:p w14:paraId="62D66698" w14:textId="0FFDBF41" w:rsidR="00C139DD" w:rsidRDefault="00C4061B">
      <w:pPr>
        <w:pStyle w:val="Nadpis2"/>
        <w:tabs>
          <w:tab w:val="num" w:pos="576"/>
        </w:tabs>
        <w:ind w:left="786"/>
      </w:pPr>
      <w:r>
        <w:t>V případě prodlení Prodávajícího s dodáním Předmětu koupě ve lhůtě vyplývající z této Smlouvy má Kupující právo uplatnit vůči Prodávajícímu smluvní pokutu ve výši 0,1 % z Kupní ceny za nedodanou část Předmětu koupě za každý započatý den prodlení.</w:t>
      </w:r>
    </w:p>
    <w:p w14:paraId="562AB101" w14:textId="77777777" w:rsidR="00C139DD" w:rsidRDefault="00C4061B">
      <w:pPr>
        <w:pStyle w:val="Nadpis2"/>
        <w:tabs>
          <w:tab w:val="num" w:pos="576"/>
        </w:tabs>
        <w:ind w:left="786"/>
      </w:pPr>
      <w:r>
        <w:t>V případě prodlení Prodávajícího pro odstranění vady ve lhůtě vyplývající z této Smlouvy má Kupující právo uplatnit vůči Prodávajícímu smluvní pokutu ve výši 1 % z Kupní ceny části Předmětu koupě s neodstraněnou vadou za každý započatý den prodlení.</w:t>
      </w:r>
    </w:p>
    <w:p w14:paraId="3ED560C2" w14:textId="77777777" w:rsidR="00C139DD" w:rsidRDefault="00C4061B">
      <w:pPr>
        <w:pStyle w:val="Nadpis2"/>
        <w:tabs>
          <w:tab w:val="num" w:pos="576"/>
        </w:tabs>
        <w:ind w:left="786"/>
      </w:pPr>
      <w:r>
        <w:t xml:space="preserve">Při prodlení Kupujícího se zaplacením řádně vystavené faktury je Prodávající oprávněn požadovat zaplacení úroku z prodlení ve výši stanovené právními předpisy. </w:t>
      </w:r>
    </w:p>
    <w:p w14:paraId="1AEDD3D0" w14:textId="02AB126B" w:rsidR="00C139DD" w:rsidRDefault="00C4061B">
      <w:pPr>
        <w:pStyle w:val="Nadpis2"/>
        <w:tabs>
          <w:tab w:val="num" w:pos="576"/>
        </w:tabs>
        <w:ind w:left="786"/>
        <w:rPr>
          <w:color w:val="CC0099"/>
        </w:rPr>
      </w:pPr>
      <w:r>
        <w:t>V případě, že některá ze Smluvních stran poruší některou z povinností mlčenlivosti dle čl. IX. této Smlouvy, je druhá Smluvní strana oprávněna požadovat smluvní pokutu ve výši 10</w:t>
      </w:r>
      <w:r w:rsidR="00192E2E">
        <w:t> </w:t>
      </w:r>
      <w:r>
        <w:t>000</w:t>
      </w:r>
      <w:r w:rsidR="00192E2E">
        <w:t xml:space="preserve">,00 </w:t>
      </w:r>
      <w:r>
        <w:t>Kč (slovy: deset tisíc korun českých), a to za každý jednotlivý případ porušení.</w:t>
      </w:r>
    </w:p>
    <w:p w14:paraId="30E3842B" w14:textId="77777777" w:rsidR="00C139DD" w:rsidRDefault="00C4061B">
      <w:pPr>
        <w:pStyle w:val="Nadpis2"/>
        <w:tabs>
          <w:tab w:val="num" w:pos="576"/>
        </w:tabs>
        <w:ind w:left="786"/>
      </w:pPr>
      <w:r>
        <w:t>Smluvní pokuta je splatná ve lhůtě 7 dnů od doručení písemné výzvy oprávněné Smluvní strany Smluvní straně povinné ze smluvní pokuty.</w:t>
      </w:r>
    </w:p>
    <w:p w14:paraId="2352228A" w14:textId="77777777" w:rsidR="00C139DD" w:rsidRDefault="00C4061B">
      <w:pPr>
        <w:pStyle w:val="Nadpis2"/>
        <w:tabs>
          <w:tab w:val="num" w:pos="576"/>
        </w:tabs>
        <w:ind w:left="786"/>
      </w:pPr>
      <w:r>
        <w:t xml:space="preserve">Ujednáním o smluvní pokutě není dotčeno právo poškozené Smluvní strany domáhat se náhrady škody v plné výši. </w:t>
      </w:r>
    </w:p>
    <w:p w14:paraId="2103D576" w14:textId="77777777" w:rsidR="00C139DD" w:rsidRDefault="00C4061B">
      <w:pPr>
        <w:pStyle w:val="Nadpis2"/>
        <w:tabs>
          <w:tab w:val="num" w:pos="576"/>
        </w:tabs>
        <w:ind w:left="786"/>
      </w:pPr>
      <w:r>
        <w:t>Smluvní strany se dohodly na vyloučení aplikace § 1806 Občanského zákoníku.</w:t>
      </w:r>
    </w:p>
    <w:p w14:paraId="2B20D4BA" w14:textId="77777777" w:rsidR="00C139DD" w:rsidRDefault="00C4061B">
      <w:pPr>
        <w:pStyle w:val="Nadpis1"/>
        <w:ind w:left="3904"/>
        <w:jc w:val="left"/>
      </w:pPr>
      <w:r>
        <w:t>Ukončení Smlouvy</w:t>
      </w:r>
    </w:p>
    <w:p w14:paraId="258DBAA4" w14:textId="77777777" w:rsidR="00C139DD" w:rsidRDefault="00C4061B">
      <w:pPr>
        <w:pStyle w:val="Nadpis2"/>
        <w:tabs>
          <w:tab w:val="num" w:pos="576"/>
        </w:tabs>
        <w:ind w:left="786"/>
      </w:pPr>
      <w:r>
        <w:t>Smlouva může být ukončena dohodou Smluvních stran.</w:t>
      </w:r>
    </w:p>
    <w:p w14:paraId="493DDB9A" w14:textId="77777777" w:rsidR="00C139DD" w:rsidRDefault="00C4061B">
      <w:pPr>
        <w:pStyle w:val="Nadpis2"/>
        <w:tabs>
          <w:tab w:val="num" w:pos="576"/>
        </w:tabs>
        <w:ind w:left="786"/>
      </w:pPr>
      <w:r>
        <w:t>Kupující je oprávněn od Smlouvy odstoupit v následujících případech:</w:t>
      </w:r>
    </w:p>
    <w:p w14:paraId="651E7B5C" w14:textId="77777777" w:rsidR="00C139DD" w:rsidRDefault="00C4061B">
      <w:pPr>
        <w:pStyle w:val="Nadpis3"/>
      </w:pPr>
      <w:r>
        <w:lastRenderedPageBreak/>
        <w:t>bude rozhodnuto o likvidaci Prodávajícího;</w:t>
      </w:r>
    </w:p>
    <w:p w14:paraId="5D6F5F26" w14:textId="77777777" w:rsidR="00C139DD" w:rsidRDefault="00C4061B">
      <w:pPr>
        <w:pStyle w:val="Nadpis3"/>
      </w:pPr>
      <w:r>
        <w:t>Prodávající podá insolvenční návrh ohledně své osoby, bude rozhodnuto o úpadku Prodávajícího, nebo bude ve vztahu k Prodávajícímu vydáno jiné rozhodnutí s obdobnými účinky;</w:t>
      </w:r>
    </w:p>
    <w:p w14:paraId="14A20FC5" w14:textId="77777777" w:rsidR="00C139DD" w:rsidRDefault="00C4061B">
      <w:pPr>
        <w:pStyle w:val="Nadpis3"/>
      </w:pPr>
      <w:r>
        <w:t>Prodávající bude pravomocně odsouzen za úmyslný majetkový nebo hospodářský trestný čin.</w:t>
      </w:r>
    </w:p>
    <w:p w14:paraId="2843BFAD" w14:textId="77777777" w:rsidR="00C139DD" w:rsidRDefault="00C4061B">
      <w:pPr>
        <w:pStyle w:val="Nadpis2"/>
        <w:tabs>
          <w:tab w:val="num" w:pos="576"/>
        </w:tabs>
        <w:ind w:left="786"/>
        <w:rPr>
          <w:color w:val="000000" w:themeColor="text1"/>
        </w:rPr>
      </w:pPr>
      <w:r>
        <w:t xml:space="preserve">Prodávající je oprávněn od této Smlouvy odstoupit v případě, že Kupující neuhradí Kupní cenu ani v dodatečně </w:t>
      </w:r>
      <w:r>
        <w:rPr>
          <w:color w:val="000000" w:themeColor="text1"/>
        </w:rPr>
        <w:t>poskytnuté přiměřené lhůtě.</w:t>
      </w:r>
    </w:p>
    <w:p w14:paraId="4A1D11C9" w14:textId="77777777" w:rsidR="00C139DD" w:rsidRDefault="00C4061B">
      <w:pPr>
        <w:pStyle w:val="Nadpis2"/>
        <w:tabs>
          <w:tab w:val="num" w:pos="576"/>
        </w:tabs>
        <w:ind w:left="786"/>
        <w:rPr>
          <w:color w:val="000000" w:themeColor="text1"/>
        </w:rPr>
      </w:pPr>
      <w:r>
        <w:rPr>
          <w:color w:val="000000" w:themeColor="text1"/>
        </w:rPr>
        <w:t xml:space="preserve">Smluvní strany jsou vždy oprávněny od této Smlouvy odstoupit, nastanou-li okolnosti předvídané ustanovením § 2002 Občanského zákoníku. </w:t>
      </w:r>
    </w:p>
    <w:p w14:paraId="58401FDD" w14:textId="77777777" w:rsidR="00C139DD" w:rsidRDefault="00C4061B">
      <w:pPr>
        <w:pStyle w:val="Nadpis2"/>
        <w:tabs>
          <w:tab w:val="num" w:pos="576"/>
        </w:tabs>
        <w:ind w:left="786"/>
        <w:rPr>
          <w:color w:val="000000" w:themeColor="text1"/>
        </w:rPr>
      </w:pPr>
      <w:r>
        <w:rPr>
          <w:color w:val="000000" w:themeColor="text1"/>
        </w:rPr>
        <w:t>Za podstatné porušení Smlouvy Prodávajícím ve smyslu § 2002 Občanského zákoníku se považuje zejména:</w:t>
      </w:r>
    </w:p>
    <w:p w14:paraId="2F1344F1" w14:textId="77777777" w:rsidR="00C139DD" w:rsidRDefault="00C4061B">
      <w:pPr>
        <w:pStyle w:val="Nadpis3"/>
        <w:rPr>
          <w:color w:val="000000" w:themeColor="text1"/>
        </w:rPr>
      </w:pPr>
      <w:r>
        <w:rPr>
          <w:color w:val="000000" w:themeColor="text1"/>
        </w:rPr>
        <w:t>prodlení Prodávajícího s dodáním Předmětu koupě o více než 30 kalendářních dní po termínu plnění;</w:t>
      </w:r>
    </w:p>
    <w:p w14:paraId="11489B5C" w14:textId="77777777" w:rsidR="00C139DD" w:rsidRDefault="00C4061B">
      <w:pPr>
        <w:pStyle w:val="Nadpis3"/>
      </w:pPr>
      <w:r>
        <w:t>porušení povinnosti Prodávajícího odstranit vady Předmětu koupě ve lhůtě 30 kalendářních dní od jejich oznámení Kupujícím;</w:t>
      </w:r>
    </w:p>
    <w:p w14:paraId="297CC8AD" w14:textId="77777777" w:rsidR="00C139DD" w:rsidRDefault="00C4061B">
      <w:pPr>
        <w:pStyle w:val="Nadpis3"/>
      </w:pPr>
      <w:r>
        <w:t xml:space="preserve">vícečetné porušování smluvních či jiných právních povinností v souvislosti s plněním Smlouvy; </w:t>
      </w:r>
    </w:p>
    <w:p w14:paraId="332B6DCA" w14:textId="77777777" w:rsidR="00C139DD" w:rsidRDefault="00C4061B">
      <w:pPr>
        <w:pStyle w:val="Nadpis3"/>
      </w:pPr>
      <w:r>
        <w:t>jakékoliv porušení povinností Prodávajícího, které nebude odstraněno či napraveno ani do 30 kalendářních dní od porušení povinnosti, je-li náprava možná.</w:t>
      </w:r>
    </w:p>
    <w:p w14:paraId="241FA92A" w14:textId="77777777" w:rsidR="00C139DD" w:rsidRDefault="00C4061B">
      <w:pPr>
        <w:pStyle w:val="Nadpis2"/>
        <w:tabs>
          <w:tab w:val="num" w:pos="576"/>
        </w:tabs>
        <w:ind w:left="786"/>
      </w:pPr>
      <w:r>
        <w:t>Za podstatné porušení Smlouvy Kupujícím ve smyslu § 2002 Občanského zákoníku se považuje zejména prodlení Kupujícího s úhradou faktury o více než 60 kalendářních dní.</w:t>
      </w:r>
    </w:p>
    <w:p w14:paraId="6DA96E5F" w14:textId="77777777" w:rsidR="00C139DD" w:rsidRDefault="00C4061B">
      <w:pPr>
        <w:pStyle w:val="Nadpis2"/>
        <w:tabs>
          <w:tab w:val="num" w:pos="576"/>
        </w:tabs>
        <w:ind w:left="786"/>
      </w:pPr>
      <w:r>
        <w:t>Odstoupením od této Smlouvy se závazek touto Smlouvou založený zrušuje od počátku a Smluvní strany si jsou povinny vrátit vše, co si plnily, a to bez zbytečného odkladu, nejpozději však do 30 dnů od doručení oznámení odstupující Smluvní strany o odstoupení od této Smlouvy druhé Smluvní straně. Ustanovení odst. 4 tohoto článku není dotčeno.</w:t>
      </w:r>
    </w:p>
    <w:p w14:paraId="17FC229B" w14:textId="77777777" w:rsidR="00C139DD" w:rsidRDefault="00C4061B">
      <w:pPr>
        <w:pStyle w:val="Nadpis2"/>
        <w:tabs>
          <w:tab w:val="num" w:pos="576"/>
        </w:tabs>
        <w:ind w:left="786"/>
      </w:pPr>
      <w:r>
        <w:t>Kupující může od Smlouvy odstoupit také pouze ohledně nesplněného zbytku plnění, plnil-li Prodávající jen zčásti, pokud má přijaté dílčí plnění pro Kupujícího význam.</w:t>
      </w:r>
    </w:p>
    <w:p w14:paraId="3EC863F5" w14:textId="77777777" w:rsidR="00C139DD" w:rsidRDefault="00C4061B">
      <w:pPr>
        <w:pStyle w:val="Nadpis2"/>
        <w:tabs>
          <w:tab w:val="num" w:pos="576"/>
        </w:tabs>
        <w:ind w:left="786"/>
      </w:pPr>
      <w:r>
        <w:t>Odstoupení od Smlouvy musí být písemné, jinak nemá právní účinky. Odstoupení je účinné ode dne, kdy bylo doručeno druhé Smluvní straně.</w:t>
      </w:r>
    </w:p>
    <w:p w14:paraId="28AF8B11" w14:textId="77777777" w:rsidR="00C139DD" w:rsidRDefault="00C4061B">
      <w:pPr>
        <w:pStyle w:val="Nadpis2"/>
        <w:tabs>
          <w:tab w:val="num" w:pos="576"/>
        </w:tabs>
        <w:ind w:left="786"/>
      </w:pPr>
      <w:r>
        <w:t>Odstoupení od Smlouvy se nedotýká práva na zaplacení smluvní pokuty nebo úroku z prodlení, pokud už dospěl, práva na náhradu škody vzniklé z porušení smluvní povinnosti ani ujednání, které má vzhledem ke své povaze zavazovat Smluvní strany i po odstoupení od této Smlouvy. Odstoupení od Smlouvy se nedotýká ani práv poskytnutých ve smyslu čl. VII. této Smlouvy.</w:t>
      </w:r>
    </w:p>
    <w:p w14:paraId="7176D594" w14:textId="77777777" w:rsidR="00C139DD" w:rsidRDefault="00C4061B">
      <w:pPr>
        <w:pStyle w:val="Nadpis1"/>
        <w:ind w:left="3904"/>
        <w:jc w:val="left"/>
      </w:pPr>
      <w:r>
        <w:t>Závěrečná ustanovení</w:t>
      </w:r>
    </w:p>
    <w:p w14:paraId="76EC76C3" w14:textId="77777777" w:rsidR="00C139DD" w:rsidRDefault="00C4061B">
      <w:pPr>
        <w:pStyle w:val="Nadpis2"/>
        <w:tabs>
          <w:tab w:val="num" w:pos="576"/>
        </w:tabs>
        <w:ind w:left="786"/>
      </w:pPr>
      <w:r>
        <w:t>Oznámení nebo jiná sdělení podle této Smlouvy musí být učiněna písemně v českém jazyce. Jakékoliv úkony směřující ke skončení této Smlouvy</w:t>
      </w:r>
      <w:bookmarkStart w:id="1" w:name="_Hlk11741667"/>
      <w:r>
        <w:t xml:space="preserve"> a oznámení o změně bankovních údajů</w:t>
      </w:r>
      <w:bookmarkEnd w:id="1"/>
      <w:r>
        <w:t xml:space="preserve"> musí být oznámeny druhé Smluvní straně datovou zprávou nebo formou doporučeného dopisu. Oznámení nebo jiná sdělení podle této Smlouvy se budou považovat za řádně učiněná, pokud budou doručena osobně, poštou, emailem či kurýrem na adresy uvedené v tomto odstavci nebo na jinou adresu, kterou příslušná Smluvní strana v předstihu písemně oznámí druhé Smluvní straně.</w:t>
      </w:r>
    </w:p>
    <w:p w14:paraId="68951B89" w14:textId="345AFE37" w:rsidR="00C139DD" w:rsidRDefault="00C4061B">
      <w:pPr>
        <w:pStyle w:val="Nadpis3"/>
      </w:pPr>
      <w:r>
        <w:t>Kupující:</w:t>
      </w:r>
      <w:r>
        <w:rPr>
          <w:i/>
        </w:rPr>
        <w:t xml:space="preserve"> </w:t>
      </w:r>
      <w:r w:rsidR="00F06CE3" w:rsidRPr="00F06CE3">
        <w:rPr>
          <w:iCs/>
        </w:rPr>
        <w:t>Město Znojmo</w:t>
      </w:r>
      <w:r>
        <w:rPr>
          <w:i/>
        </w:rPr>
        <w:t xml:space="preserve"> </w:t>
      </w:r>
    </w:p>
    <w:p w14:paraId="3B4E4AFC" w14:textId="04094BA7" w:rsidR="00C139DD" w:rsidRDefault="00C4061B">
      <w:pPr>
        <w:pStyle w:val="Nadpis2bezslovn"/>
        <w:ind w:left="1080"/>
        <w:rPr>
          <w:highlight w:val="magenta"/>
        </w:rPr>
      </w:pPr>
      <w:r>
        <w:lastRenderedPageBreak/>
        <w:t xml:space="preserve">Jméno: </w:t>
      </w:r>
      <w:r w:rsidR="00F06CE3">
        <w:t>Mgr. Radoslav Habrdle</w:t>
      </w:r>
    </w:p>
    <w:p w14:paraId="459F74D2" w14:textId="26482355" w:rsidR="00C139DD" w:rsidRDefault="00C4061B">
      <w:pPr>
        <w:pStyle w:val="Nadpis2bezslovn"/>
        <w:ind w:left="1080"/>
      </w:pPr>
      <w:r>
        <w:t xml:space="preserve">Adresa: </w:t>
      </w:r>
      <w:r w:rsidR="00F06CE3">
        <w:t>Obroková 2/10, 669 02 Znojmo</w:t>
      </w:r>
    </w:p>
    <w:p w14:paraId="11517CE0" w14:textId="54866ECB" w:rsidR="00C139DD" w:rsidRDefault="00C4061B">
      <w:pPr>
        <w:pStyle w:val="Nadpis2bezslovn"/>
        <w:ind w:left="1080"/>
      </w:pPr>
      <w:r>
        <w:t xml:space="preserve">E-mail: </w:t>
      </w:r>
      <w:r w:rsidR="00F06CE3">
        <w:t>radoslav.habrdle@muznojmo.cz</w:t>
      </w:r>
    </w:p>
    <w:p w14:paraId="7E305604" w14:textId="01472670" w:rsidR="00C139DD" w:rsidRDefault="00C4061B">
      <w:pPr>
        <w:pStyle w:val="Nadpis2bezslovn"/>
        <w:ind w:left="1080"/>
      </w:pPr>
      <w:r>
        <w:t xml:space="preserve">Datová schránka: </w:t>
      </w:r>
      <w:r w:rsidR="00F06CE3">
        <w:t>ns4a987</w:t>
      </w:r>
    </w:p>
    <w:p w14:paraId="1F60E3F2" w14:textId="353A4DE0" w:rsidR="00C139DD" w:rsidRDefault="00C4061B" w:rsidP="00450F6B">
      <w:pPr>
        <w:pStyle w:val="Nadpis3"/>
      </w:pPr>
      <w:r>
        <w:t>Prodávající:</w:t>
      </w:r>
      <w:r w:rsidR="00450F6B" w:rsidRPr="00450F6B">
        <w:t xml:space="preserve"> Aricoma Systems a.s.</w:t>
      </w:r>
    </w:p>
    <w:p w14:paraId="63158491" w14:textId="771E4CE9" w:rsidR="00C139DD" w:rsidRDefault="00C4061B">
      <w:pPr>
        <w:pStyle w:val="Nadpis2bezslovn"/>
        <w:ind w:left="1080"/>
        <w:rPr>
          <w:i/>
        </w:rPr>
      </w:pPr>
      <w:r>
        <w:t xml:space="preserve">Jméno: </w:t>
      </w:r>
      <w:r w:rsidR="00450F6B" w:rsidRPr="00450F6B">
        <w:t>Tomáš Kačírek</w:t>
      </w:r>
    </w:p>
    <w:p w14:paraId="4B8B9DB8" w14:textId="18CA4BDD" w:rsidR="00C139DD" w:rsidRDefault="00C4061B">
      <w:pPr>
        <w:pStyle w:val="Nadpis2bezslovn"/>
        <w:ind w:left="1080"/>
      </w:pPr>
      <w:r>
        <w:t xml:space="preserve">Adresa: </w:t>
      </w:r>
      <w:r w:rsidR="00450F6B" w:rsidRPr="00450F6B">
        <w:t>Vinohradská 1511/230, 100 00 Praha 10</w:t>
      </w:r>
    </w:p>
    <w:p w14:paraId="462E7D07" w14:textId="23CD2DAF" w:rsidR="00C139DD" w:rsidRDefault="00C4061B">
      <w:pPr>
        <w:pStyle w:val="Nadpis2bezslovn"/>
        <w:ind w:left="1080"/>
      </w:pPr>
      <w:r>
        <w:t xml:space="preserve">E-mail: </w:t>
      </w:r>
      <w:r w:rsidR="00450F6B" w:rsidRPr="00450F6B">
        <w:t>Tomas.kacirek@aricoma.com</w:t>
      </w:r>
    </w:p>
    <w:p w14:paraId="007F3F94" w14:textId="115E6898" w:rsidR="00C139DD" w:rsidRDefault="00C4061B">
      <w:pPr>
        <w:pStyle w:val="Nadpis2bezslovn"/>
        <w:ind w:left="1080"/>
      </w:pPr>
      <w:r>
        <w:t xml:space="preserve">Datová schránka: </w:t>
      </w:r>
      <w:r w:rsidR="00450F6B" w:rsidRPr="00450F6B">
        <w:t>ctb7phe</w:t>
      </w:r>
    </w:p>
    <w:p w14:paraId="2CB6AF90" w14:textId="77777777" w:rsidR="00C139DD" w:rsidRDefault="00C4061B">
      <w:pPr>
        <w:pStyle w:val="Nadpis2"/>
        <w:tabs>
          <w:tab w:val="num" w:pos="576"/>
        </w:tabs>
        <w:ind w:left="786"/>
      </w:pPr>
      <w:r>
        <w:t xml:space="preserve">Smluvní strany se dohodly na určení kontaktní osoby za každou Smluvní stranu (dále jen „Kontaktní osoba“). Kontaktní osoby jsou oprávněny ke všem jednáním týkajícím se této Smlouvy, s výjimkou změn Smlouvy nebo ukončení této Smlouvy a oznámení o změně bankovních údajů, není-li ve Smlouvě stanoveno jinak. </w:t>
      </w:r>
    </w:p>
    <w:p w14:paraId="7779F3E3" w14:textId="0A4A954B" w:rsidR="00C139DD" w:rsidRDefault="00C4061B">
      <w:pPr>
        <w:pStyle w:val="Nadpis3"/>
        <w:keepNext/>
        <w:keepLines/>
      </w:pPr>
      <w:r>
        <w:t>Kontaktní osobou Kupujícího je</w:t>
      </w:r>
      <w:r w:rsidRPr="00AB7BF5">
        <w:rPr>
          <w:iCs/>
        </w:rPr>
        <w:t xml:space="preserve"> </w:t>
      </w:r>
      <w:r w:rsidR="00AB7BF5" w:rsidRPr="00AB7BF5">
        <w:rPr>
          <w:iCs/>
        </w:rPr>
        <w:t>Mgr. Radoslav Habrdle</w:t>
      </w:r>
      <w:r w:rsidR="00AB7BF5">
        <w:rPr>
          <w:iCs/>
        </w:rPr>
        <w:t>, vedoucí stavebního úřadu, +420 739 389 453,</w:t>
      </w:r>
      <w:r>
        <w:t xml:space="preserve"> e-mail </w:t>
      </w:r>
      <w:r w:rsidR="00AB7BF5" w:rsidRPr="00AB7BF5">
        <w:rPr>
          <w:iCs/>
        </w:rPr>
        <w:t>radoslav.habrdle@muznojmo.cz</w:t>
      </w:r>
      <w:r w:rsidR="00AB7BF5" w:rsidRPr="00AB7BF5">
        <w:rPr>
          <w:i/>
        </w:rPr>
        <w:t xml:space="preserve"> </w:t>
      </w:r>
      <w:r>
        <w:t xml:space="preserve">a další zaměstnanci Kupujícího jím písemně pověření. </w:t>
      </w:r>
    </w:p>
    <w:p w14:paraId="1C8E493C" w14:textId="1CE22F7B" w:rsidR="00C139DD" w:rsidRDefault="00C4061B" w:rsidP="003B60F2">
      <w:pPr>
        <w:pStyle w:val="Nadpis3"/>
      </w:pPr>
      <w:r>
        <w:t xml:space="preserve">Kontaktní osobou Prodávajícího je: </w:t>
      </w:r>
      <w:r w:rsidR="00D07A2B" w:rsidRPr="00E70631">
        <w:t xml:space="preserve">Tomáš Kačírek, </w:t>
      </w:r>
      <w:r w:rsidR="00FC1784">
        <w:t xml:space="preserve">key </w:t>
      </w:r>
      <w:r w:rsidR="00D07A2B" w:rsidRPr="00E70631">
        <w:t>account manager</w:t>
      </w:r>
      <w:r>
        <w:t xml:space="preserve">, </w:t>
      </w:r>
      <w:r w:rsidR="003B60F2" w:rsidRPr="003B60F2">
        <w:t>+420 724 047 490</w:t>
      </w:r>
      <w:r>
        <w:t xml:space="preserve">, </w:t>
      </w:r>
      <w:r w:rsidR="00D07A2B" w:rsidRPr="00D07A2B">
        <w:t>Tomas.kacirek@aricoma.com</w:t>
      </w:r>
      <w:r>
        <w:t xml:space="preserve">, a další zaměstnanci či jiné osoby jím písemně pověření. </w:t>
      </w:r>
    </w:p>
    <w:p w14:paraId="199C451C" w14:textId="3353C674" w:rsidR="00C139DD" w:rsidRDefault="00C4061B">
      <w:pPr>
        <w:pStyle w:val="Nadpis2"/>
        <w:tabs>
          <w:tab w:val="num" w:pos="576"/>
        </w:tabs>
        <w:ind w:left="786"/>
      </w:pPr>
      <w:r>
        <w:t xml:space="preserve">Ke změně Smlouvy, </w:t>
      </w:r>
      <w:r w:rsidR="00B03E92">
        <w:t xml:space="preserve">ukončení </w:t>
      </w:r>
      <w:r>
        <w:t xml:space="preserve">Smlouvy, nebo změně bankovních údajů je za Kupujícího oprávněn </w:t>
      </w:r>
      <w:r w:rsidR="00AB7BF5">
        <w:t>jeho statutární zástupce</w:t>
      </w:r>
      <w:r>
        <w:rPr>
          <w:i/>
        </w:rPr>
        <w:t xml:space="preserve"> </w:t>
      </w:r>
      <w:r>
        <w:t xml:space="preserve">a </w:t>
      </w:r>
      <w:r w:rsidRPr="00AB7BF5">
        <w:t xml:space="preserve">dále </w:t>
      </w:r>
      <w:r w:rsidR="00AB7BF5" w:rsidRPr="00AB7BF5">
        <w:t>statutární místostarosta</w:t>
      </w:r>
      <w:r>
        <w:t>. Ke změně Smlouvy nebo ukončení Smlouvy je oprávněn za Prodávajícího sám Prodávající (pokud je fyzickou osobou – podnikatelem) nebo statutární orgán Prodávajícího, a to dle způsobu jednání uvedeného v obchodním rejstříku (dále jen „Odpovědné osoby pro věci smluvní“). Odpovědné osoby pro věci smluvní mají současně všechna oprávnění Kontaktních osob.</w:t>
      </w:r>
    </w:p>
    <w:p w14:paraId="1B14137F" w14:textId="77777777" w:rsidR="00C139DD" w:rsidRDefault="00C4061B">
      <w:pPr>
        <w:pStyle w:val="Nadpis2"/>
        <w:tabs>
          <w:tab w:val="num" w:pos="576"/>
        </w:tabs>
        <w:ind w:left="786"/>
      </w:pPr>
      <w:r>
        <w:t xml:space="preserve">Jakékoliv změny kontaktních údajů a Kontaktních osob je příslušná Smluvní strana oprávněna provádět jednostranně a je povinna tyto změny neprodleně oznámit druhé Smluvní straně. </w:t>
      </w:r>
    </w:p>
    <w:p w14:paraId="6C3CBE2F" w14:textId="7089EB7F" w:rsidR="00C139DD" w:rsidRDefault="00C4061B">
      <w:pPr>
        <w:pStyle w:val="Nadpis2"/>
        <w:tabs>
          <w:tab w:val="num" w:pos="576"/>
        </w:tabs>
        <w:ind w:left="786"/>
      </w:pPr>
      <w:r>
        <w:t xml:space="preserve">Smluvní strany souhlasí s tím, že podepsaná Smlouva (včetně příloh), jakož i její text, může být v elektronické podobě </w:t>
      </w:r>
      <w:r w:rsidR="00B03E92">
        <w:t>u</w:t>
      </w:r>
      <w:r>
        <w:t xml:space="preserve">veřejněna v registru smluv, na internetových stránkách Kupujícího, na profilu zadavatele (Kupujícího) ve smyslu zákona o zadávání veřejných zakázek, a dále v souladu s povinnostmi vyplývajícími z jiných právních předpisů, a to bez časového omezení. </w:t>
      </w:r>
    </w:p>
    <w:p w14:paraId="7159031D" w14:textId="77777777" w:rsidR="00C139DD" w:rsidRDefault="00C4061B">
      <w:pPr>
        <w:pStyle w:val="Nadpis2"/>
        <w:tabs>
          <w:tab w:val="num" w:pos="576"/>
        </w:tabs>
        <w:ind w:left="786"/>
      </w:pPr>
      <w:r>
        <w:t>Prodávající bere na vědomí, že osobní údaje jeho, či jeho zaměstnanců, specifikované v této Smlouvě jsou ze strany Kupujícího zpracovávány v souvislosti s plněním povinností dle této Smlouvy a v souladu s Nařízením Evropského parlamentu a Rady (EU) 2016/679 ze dne 27. dubna 2016 obecného nařízení o ochraně osobních údajů a zákonem č. 110/2019, o zpracování osobních údajů, v platném znění.</w:t>
      </w:r>
    </w:p>
    <w:p w14:paraId="7ED95B0E" w14:textId="77777777" w:rsidR="00C139DD" w:rsidRDefault="00C4061B">
      <w:pPr>
        <w:pStyle w:val="Nadpis2"/>
        <w:tabs>
          <w:tab w:val="num" w:pos="576"/>
        </w:tabs>
        <w:ind w:left="786"/>
      </w:pPr>
      <w:r>
        <w:t>Tato Smlouva se řídí právními předpisy České republiky. Smluvní strany pro vyloučení pochybností sjednávají, že tato Smlouva se řídí subsidiárně ustanoveními Občanského zákoníku o koupi.</w:t>
      </w:r>
    </w:p>
    <w:p w14:paraId="73871B19" w14:textId="77777777" w:rsidR="00C139DD" w:rsidRDefault="00C4061B">
      <w:pPr>
        <w:pStyle w:val="Nadpis2"/>
        <w:tabs>
          <w:tab w:val="num" w:pos="576"/>
        </w:tabs>
        <w:ind w:left="786"/>
      </w:pPr>
      <w:r>
        <w:t xml:space="preserve">Stane-li se kterékoli ustanovení této Smlouvy neplatným, neúčinným nebo nevykonatelným, zůstává platnost, účinnost a vykonatelnost ostatních ustanovení této Smlouvy neovlivněna a nedotčena, nevyplývá-li z povahy daného ustanovení, obsahu Smlouvy nebo okolností, za nichž bylo toto ustanovení vytvořeno, že toto ustanovení nelze oddělit od ostatního obsahu Smlouvy. </w:t>
      </w:r>
    </w:p>
    <w:p w14:paraId="21278765" w14:textId="77777777" w:rsidR="00C139DD" w:rsidRDefault="00C4061B">
      <w:pPr>
        <w:pStyle w:val="Nadpis2"/>
        <w:tabs>
          <w:tab w:val="num" w:pos="576"/>
        </w:tabs>
        <w:ind w:left="786"/>
      </w:pPr>
      <w:r>
        <w:lastRenderedPageBreak/>
        <w:t>Jestliže kterákoli ze Smluvních stran neuplatní nárok nebo nevykoná právo podle této Smlouvy, nebo je vykoná se zpožděním či pouze částečně, nebude to znamenat vzdání se těchto nároků nebo práv. Vzdání se práva z titulu porušení této Smlouvy nebo práva na nápravu anebo jakéhokoliv jiného práva podle této Smlouvy musí být vyhotoveno písemně a podepsáno Smluvní stranou, která takové vzdání se činí.</w:t>
      </w:r>
    </w:p>
    <w:p w14:paraId="0481E42B" w14:textId="77777777" w:rsidR="00C139DD" w:rsidRDefault="00C4061B">
      <w:pPr>
        <w:pStyle w:val="Nadpis2"/>
        <w:tabs>
          <w:tab w:val="num" w:pos="576"/>
        </w:tabs>
        <w:ind w:left="786"/>
      </w:pPr>
      <w:r>
        <w:t>Žádná ze Smluvních stran není oprávněna bez souhlasu druhé Smluvní strany postoupit Smlouvu, jednotlivý závazek ze Smlouvy ani pohledávky vzniklé v souvislosti s touto Smlouvou na třetí osoby, ani učinit jakékoliv právní jednání, v jehož důsledku by došlo k převodu či přechodu práv či povinností vyplývajících z této Smlouvy.</w:t>
      </w:r>
    </w:p>
    <w:p w14:paraId="061AFB20" w14:textId="77777777" w:rsidR="00C139DD" w:rsidRDefault="00C4061B">
      <w:pPr>
        <w:pStyle w:val="Nadpis2"/>
        <w:tabs>
          <w:tab w:val="num" w:pos="576"/>
        </w:tabs>
        <w:ind w:left="786"/>
      </w:pPr>
      <w:r>
        <w:t>Smluvní strany se dohodly, že všechny spory vyplývající z této Smlouvy nebo spory o existenci této Smlouvy (včetně otázky vzniku a platnosti této Smlouvy) budou rozhodovány s konečnou platností před věcně a místně příslušným soudem České republiky.</w:t>
      </w:r>
    </w:p>
    <w:p w14:paraId="5420A243" w14:textId="7CA7F85D" w:rsidR="00C139DD" w:rsidRDefault="00C4061B">
      <w:pPr>
        <w:pStyle w:val="Nadpis2"/>
        <w:tabs>
          <w:tab w:val="num" w:pos="576"/>
        </w:tabs>
        <w:ind w:left="786"/>
      </w:pPr>
      <w:r>
        <w:t>Tato Smlouva je vyhotovena v</w:t>
      </w:r>
      <w:r w:rsidR="00097BA1">
        <w:t> elektronické podobě.</w:t>
      </w:r>
      <w:r>
        <w:t xml:space="preserve">  </w:t>
      </w:r>
    </w:p>
    <w:p w14:paraId="02FDC18E" w14:textId="77777777" w:rsidR="00C139DD" w:rsidRDefault="00C4061B">
      <w:pPr>
        <w:pStyle w:val="Nadpis2"/>
        <w:tabs>
          <w:tab w:val="num" w:pos="576"/>
        </w:tabs>
        <w:ind w:left="786"/>
      </w:pPr>
      <w:r>
        <w:t xml:space="preserve">Změny nebo doplňky této Smlouvy včetně jejích příloh musejí být vyhotoveny písemně a podepsány oběma Smluvními stranami s podpisy Smluvních stran na jedné listině. </w:t>
      </w:r>
    </w:p>
    <w:p w14:paraId="5BF71690" w14:textId="77777777" w:rsidR="00C139DD" w:rsidRDefault="00C4061B">
      <w:pPr>
        <w:pStyle w:val="Nadpis2"/>
        <w:tabs>
          <w:tab w:val="num" w:pos="576"/>
        </w:tabs>
        <w:ind w:left="786"/>
      </w:pPr>
      <w:r>
        <w:t>Nedílnou součástí této Smlouvy jsou přílohy:</w:t>
      </w:r>
    </w:p>
    <w:p w14:paraId="31297213" w14:textId="5F40F1B4" w:rsidR="00C139DD" w:rsidRDefault="00C4061B">
      <w:pPr>
        <w:ind w:firstLine="708"/>
      </w:pPr>
      <w:r>
        <w:t xml:space="preserve">Příloha č. </w:t>
      </w:r>
      <w:r w:rsidR="00097BA1">
        <w:t>1: Technická</w:t>
      </w:r>
      <w:r>
        <w:t xml:space="preserve"> specifikace</w:t>
      </w:r>
    </w:p>
    <w:p w14:paraId="1E0A12A1" w14:textId="71333647" w:rsidR="00C139DD" w:rsidRDefault="00C4061B">
      <w:pPr>
        <w:ind w:firstLine="708"/>
      </w:pPr>
      <w:r>
        <w:t xml:space="preserve">Příloha č. </w:t>
      </w:r>
      <w:r w:rsidR="00097BA1">
        <w:t>2: Seznam</w:t>
      </w:r>
      <w:r>
        <w:t xml:space="preserve"> odběrných míst</w:t>
      </w:r>
    </w:p>
    <w:p w14:paraId="03796829" w14:textId="5F73AE64" w:rsidR="00C139DD" w:rsidRDefault="00C4061B">
      <w:pPr>
        <w:pStyle w:val="Nadpis2"/>
        <w:tabs>
          <w:tab w:val="num" w:pos="576"/>
        </w:tabs>
        <w:ind w:left="786"/>
      </w:pPr>
      <w:r>
        <w:t>Tato Smlouva nabývá platnosti okamžikem podpisu oběma Smluvními stranami a účinnosti dn</w:t>
      </w:r>
      <w:r w:rsidR="00C4247D">
        <w:t>em uveřejnění v registru smluv. Pokud se na tuto Smlouvu nevztahuje povinnost uveřejnění v registru smluv, pak tato Smlouva nabývá účinnosti již okamžikem podpisu oběma Smluvními stranami.</w:t>
      </w:r>
    </w:p>
    <w:p w14:paraId="639D8CD0" w14:textId="7A7D671D" w:rsidR="00C139DD" w:rsidRPr="00176F51" w:rsidRDefault="00C4061B" w:rsidP="00097BA1">
      <w:pPr>
        <w:pStyle w:val="Nadpis2"/>
        <w:numPr>
          <w:ilvl w:val="0"/>
          <w:numId w:val="0"/>
        </w:numPr>
        <w:ind w:left="851" w:hanging="425"/>
        <w:rPr>
          <w:highlight w:val="green"/>
        </w:rPr>
      </w:pPr>
      <w:r>
        <w:t xml:space="preserve">16) </w:t>
      </w:r>
      <w:r w:rsidR="0058613E">
        <w:t xml:space="preserve">Uzavření této Smlouvy bylo schváleno Radou města Znojma dne </w:t>
      </w:r>
      <w:r w:rsidR="005723AC">
        <w:t>15. 4. 2024</w:t>
      </w:r>
      <w:r w:rsidR="0058613E">
        <w:t xml:space="preserve">, usnesením č. </w:t>
      </w:r>
      <w:r w:rsidR="005723AC">
        <w:t>70/2024</w:t>
      </w:r>
      <w:r w:rsidR="0058613E">
        <w:t>, bodem č.</w:t>
      </w:r>
      <w:r w:rsidR="005723AC">
        <w:t xml:space="preserve"> 2426</w:t>
      </w:r>
      <w:r w:rsidR="0058613E">
        <w:t>.</w:t>
      </w:r>
    </w:p>
    <w:p w14:paraId="2E2FEFF0" w14:textId="77777777" w:rsidR="00C139DD" w:rsidRDefault="00C139DD"/>
    <w:p w14:paraId="0014A501" w14:textId="77777777" w:rsidR="00C139DD" w:rsidRDefault="00C139DD"/>
    <w:tbl>
      <w:tblPr>
        <w:tblW w:w="0" w:type="auto"/>
        <w:tblLook w:val="00A0" w:firstRow="1" w:lastRow="0" w:firstColumn="1" w:lastColumn="0" w:noHBand="0" w:noVBand="0"/>
      </w:tblPr>
      <w:tblGrid>
        <w:gridCol w:w="4606"/>
        <w:gridCol w:w="4606"/>
      </w:tblGrid>
      <w:tr w:rsidR="00C139DD" w14:paraId="275F0803" w14:textId="77777777">
        <w:trPr>
          <w:trHeight w:val="1192"/>
        </w:trPr>
        <w:tc>
          <w:tcPr>
            <w:tcW w:w="4606" w:type="dxa"/>
          </w:tcPr>
          <w:p w14:paraId="330AD089" w14:textId="382E5E71" w:rsidR="00C139DD" w:rsidRDefault="00C4061B" w:rsidP="0058613E">
            <w:r>
              <w:t>V</w:t>
            </w:r>
            <w:r w:rsidR="0058613E">
              <w:t>e Znojmě</w:t>
            </w:r>
          </w:p>
        </w:tc>
        <w:tc>
          <w:tcPr>
            <w:tcW w:w="4606" w:type="dxa"/>
          </w:tcPr>
          <w:p w14:paraId="40EEE1F3" w14:textId="449698A1" w:rsidR="00C139DD" w:rsidRDefault="00C4061B" w:rsidP="0058613E">
            <w:r>
              <w:t xml:space="preserve">V </w:t>
            </w:r>
            <w:r w:rsidR="009D3C9D">
              <w:t>Praze</w:t>
            </w:r>
          </w:p>
        </w:tc>
      </w:tr>
      <w:tr w:rsidR="00C139DD" w14:paraId="570E83D7" w14:textId="77777777">
        <w:trPr>
          <w:trHeight w:val="567"/>
        </w:trPr>
        <w:tc>
          <w:tcPr>
            <w:tcW w:w="4606" w:type="dxa"/>
          </w:tcPr>
          <w:p w14:paraId="03C321AD" w14:textId="77777777" w:rsidR="00C139DD" w:rsidRDefault="00C4061B">
            <w:pPr>
              <w:jc w:val="center"/>
            </w:pPr>
            <w:r>
              <w:t>______________________</w:t>
            </w:r>
          </w:p>
        </w:tc>
        <w:tc>
          <w:tcPr>
            <w:tcW w:w="4606" w:type="dxa"/>
          </w:tcPr>
          <w:p w14:paraId="6FEFA15E" w14:textId="77777777" w:rsidR="00C139DD" w:rsidRDefault="00C4061B">
            <w:pPr>
              <w:jc w:val="center"/>
            </w:pPr>
            <w:r>
              <w:t>______________________</w:t>
            </w:r>
          </w:p>
        </w:tc>
      </w:tr>
      <w:tr w:rsidR="001803ED" w14:paraId="5480F0CC" w14:textId="77777777">
        <w:trPr>
          <w:trHeight w:val="567"/>
        </w:trPr>
        <w:tc>
          <w:tcPr>
            <w:tcW w:w="4606" w:type="dxa"/>
          </w:tcPr>
          <w:p w14:paraId="62E4B023" w14:textId="77777777" w:rsidR="001803ED" w:rsidRDefault="001803ED" w:rsidP="001803ED">
            <w:pPr>
              <w:jc w:val="center"/>
            </w:pPr>
            <w:r>
              <w:t>Kupující</w:t>
            </w:r>
          </w:p>
          <w:p w14:paraId="7A46112B" w14:textId="0F6F4BAF" w:rsidR="001803ED" w:rsidRPr="0058613E" w:rsidRDefault="0058613E" w:rsidP="001803ED">
            <w:pPr>
              <w:jc w:val="center"/>
              <w:rPr>
                <w:bCs/>
                <w:highlight w:val="yellow"/>
              </w:rPr>
            </w:pPr>
            <w:r w:rsidRPr="0058613E">
              <w:rPr>
                <w:bCs/>
              </w:rPr>
              <w:t>Ing. Ivana Solařová, starostka města Znojma</w:t>
            </w:r>
          </w:p>
          <w:p w14:paraId="6D0D9262" w14:textId="3BB7217C" w:rsidR="001803ED" w:rsidRDefault="001803ED" w:rsidP="001803ED">
            <w:pPr>
              <w:jc w:val="center"/>
            </w:pPr>
          </w:p>
        </w:tc>
        <w:tc>
          <w:tcPr>
            <w:tcW w:w="4606" w:type="dxa"/>
          </w:tcPr>
          <w:p w14:paraId="0B596740" w14:textId="77777777" w:rsidR="001803ED" w:rsidRDefault="001803ED" w:rsidP="001803ED">
            <w:pPr>
              <w:jc w:val="center"/>
            </w:pPr>
            <w:r>
              <w:t>Prodávající</w:t>
            </w:r>
          </w:p>
          <w:p w14:paraId="7FDAB7BF" w14:textId="77777777" w:rsidR="001803ED" w:rsidRDefault="001803ED" w:rsidP="001803ED">
            <w:pPr>
              <w:jc w:val="center"/>
              <w:rPr>
                <w:highlight w:val="yellow"/>
              </w:rPr>
            </w:pPr>
            <w:r>
              <w:t>Ing. Vít Ševčík, člen představenstva</w:t>
            </w:r>
          </w:p>
          <w:p w14:paraId="323C75D3" w14:textId="324603C3" w:rsidR="001803ED" w:rsidRDefault="001803ED" w:rsidP="001803ED">
            <w:pPr>
              <w:jc w:val="center"/>
            </w:pPr>
          </w:p>
        </w:tc>
      </w:tr>
      <w:tr w:rsidR="009D3C9D" w14:paraId="3CCC28E1" w14:textId="77777777">
        <w:trPr>
          <w:gridAfter w:val="1"/>
          <w:wAfter w:w="4606" w:type="dxa"/>
          <w:trHeight w:val="567"/>
        </w:trPr>
        <w:tc>
          <w:tcPr>
            <w:tcW w:w="4606" w:type="dxa"/>
          </w:tcPr>
          <w:p w14:paraId="0CC96D95" w14:textId="77777777" w:rsidR="009D3C9D" w:rsidRDefault="009D3C9D" w:rsidP="001803ED">
            <w:pPr>
              <w:jc w:val="center"/>
            </w:pPr>
          </w:p>
        </w:tc>
      </w:tr>
      <w:tr w:rsidR="009D3C9D" w14:paraId="7F0EAB16" w14:textId="77777777">
        <w:trPr>
          <w:gridAfter w:val="1"/>
          <w:wAfter w:w="4606" w:type="dxa"/>
          <w:trHeight w:val="567"/>
        </w:trPr>
        <w:tc>
          <w:tcPr>
            <w:tcW w:w="4606" w:type="dxa"/>
          </w:tcPr>
          <w:p w14:paraId="2076FB19" w14:textId="77777777" w:rsidR="009D3C9D" w:rsidRDefault="009D3C9D" w:rsidP="001803ED">
            <w:pPr>
              <w:jc w:val="center"/>
            </w:pPr>
          </w:p>
        </w:tc>
      </w:tr>
      <w:tr w:rsidR="0058613E" w14:paraId="34DA1344" w14:textId="77777777">
        <w:trPr>
          <w:gridAfter w:val="1"/>
          <w:wAfter w:w="4606" w:type="dxa"/>
          <w:trHeight w:val="567"/>
        </w:trPr>
        <w:tc>
          <w:tcPr>
            <w:tcW w:w="4606" w:type="dxa"/>
          </w:tcPr>
          <w:p w14:paraId="07CC6F3C" w14:textId="77777777" w:rsidR="0058613E" w:rsidRDefault="0058613E" w:rsidP="001803ED">
            <w:pPr>
              <w:jc w:val="center"/>
            </w:pPr>
          </w:p>
          <w:p w14:paraId="0A6C8F51" w14:textId="77777777" w:rsidR="0058613E" w:rsidRDefault="0058613E" w:rsidP="001803ED">
            <w:pPr>
              <w:jc w:val="center"/>
            </w:pPr>
          </w:p>
          <w:p w14:paraId="2BF5EFFE" w14:textId="77777777" w:rsidR="0058613E" w:rsidRDefault="0058613E" w:rsidP="001803ED">
            <w:pPr>
              <w:jc w:val="center"/>
            </w:pPr>
          </w:p>
          <w:p w14:paraId="6F79657F" w14:textId="77777777" w:rsidR="0058613E" w:rsidRDefault="0058613E" w:rsidP="001803ED">
            <w:pPr>
              <w:jc w:val="center"/>
            </w:pPr>
          </w:p>
          <w:p w14:paraId="347576E4" w14:textId="77777777" w:rsidR="0058613E" w:rsidRDefault="0058613E" w:rsidP="001803ED">
            <w:pPr>
              <w:jc w:val="center"/>
            </w:pPr>
          </w:p>
          <w:p w14:paraId="6935DFC3" w14:textId="77777777" w:rsidR="0058613E" w:rsidRDefault="0058613E" w:rsidP="001803ED">
            <w:pPr>
              <w:jc w:val="center"/>
            </w:pPr>
          </w:p>
          <w:p w14:paraId="5616697F" w14:textId="77777777" w:rsidR="0058613E" w:rsidRDefault="0058613E" w:rsidP="001803ED">
            <w:pPr>
              <w:jc w:val="center"/>
            </w:pPr>
          </w:p>
        </w:tc>
      </w:tr>
      <w:tr w:rsidR="009D3C9D" w14:paraId="357F94E3" w14:textId="77777777">
        <w:trPr>
          <w:gridAfter w:val="1"/>
          <w:wAfter w:w="4606" w:type="dxa"/>
          <w:trHeight w:val="567"/>
        </w:trPr>
        <w:tc>
          <w:tcPr>
            <w:tcW w:w="4606" w:type="dxa"/>
          </w:tcPr>
          <w:p w14:paraId="168A7854" w14:textId="77777777" w:rsidR="009D3C9D" w:rsidRDefault="009D3C9D" w:rsidP="001803ED">
            <w:pPr>
              <w:jc w:val="center"/>
            </w:pPr>
          </w:p>
          <w:p w14:paraId="2AE46F4C" w14:textId="77777777" w:rsidR="008D650C" w:rsidRDefault="008D650C" w:rsidP="001803ED">
            <w:pPr>
              <w:jc w:val="center"/>
            </w:pPr>
          </w:p>
          <w:p w14:paraId="3B78836E" w14:textId="77777777" w:rsidR="008D650C" w:rsidRDefault="008D650C" w:rsidP="008D650C"/>
        </w:tc>
      </w:tr>
    </w:tbl>
    <w:p w14:paraId="5923A91B" w14:textId="77777777" w:rsidR="00AD1CEA" w:rsidRDefault="00AD1CEA" w:rsidP="00AD1CEA">
      <w:pPr>
        <w:jc w:val="center"/>
        <w:rPr>
          <w:b/>
          <w:color w:val="000000"/>
        </w:rPr>
      </w:pPr>
      <w:bookmarkStart w:id="2" w:name="RANGE!A1:D73"/>
      <w:r>
        <w:rPr>
          <w:b/>
          <w:color w:val="000000"/>
        </w:rPr>
        <w:lastRenderedPageBreak/>
        <w:t>Příloha č. 1 Technická specifikace</w:t>
      </w:r>
      <w:bookmarkEnd w:id="2"/>
    </w:p>
    <w:p w14:paraId="71A2B772" w14:textId="01A6F8B0" w:rsidR="00C139DD" w:rsidRDefault="00C139DD">
      <w:pPr>
        <w:rPr>
          <w:b/>
        </w:rPr>
      </w:pPr>
    </w:p>
    <w:tbl>
      <w:tblPr>
        <w:tblW w:w="0" w:type="auto"/>
        <w:tblCellMar>
          <w:left w:w="70" w:type="dxa"/>
          <w:right w:w="70" w:type="dxa"/>
        </w:tblCellMar>
        <w:tblLook w:val="04A0" w:firstRow="1" w:lastRow="0" w:firstColumn="1" w:lastColumn="0" w:noHBand="0" w:noVBand="1"/>
      </w:tblPr>
      <w:tblGrid>
        <w:gridCol w:w="1822"/>
        <w:gridCol w:w="3917"/>
        <w:gridCol w:w="970"/>
        <w:gridCol w:w="2909"/>
      </w:tblGrid>
      <w:tr w:rsidR="00AD1CEA" w14:paraId="05A2C698" w14:textId="77777777" w:rsidTr="00B5689E">
        <w:trPr>
          <w:trHeight w:val="375"/>
        </w:trPr>
        <w:tc>
          <w:tcPr>
            <w:tcW w:w="5660" w:type="dxa"/>
            <w:gridSpan w:val="2"/>
            <w:tcBorders>
              <w:top w:val="single" w:sz="8" w:space="0" w:color="auto"/>
              <w:left w:val="single" w:sz="8" w:space="0" w:color="auto"/>
              <w:bottom w:val="single" w:sz="4" w:space="0" w:color="auto"/>
              <w:right w:val="single" w:sz="4" w:space="0" w:color="auto"/>
            </w:tcBorders>
            <w:shd w:val="clear" w:color="auto" w:fill="auto"/>
            <w:noWrap/>
            <w:hideMark/>
          </w:tcPr>
          <w:p w14:paraId="12D13AFD" w14:textId="77777777" w:rsidR="00AD1CEA" w:rsidRDefault="00AD1CEA">
            <w:pPr>
              <w:jc w:val="center"/>
              <w:rPr>
                <w:rFonts w:ascii="Calibri" w:hAnsi="Calibri" w:cs="Calibri"/>
                <w:sz w:val="28"/>
                <w:szCs w:val="28"/>
              </w:rPr>
            </w:pPr>
            <w:r>
              <w:rPr>
                <w:rFonts w:ascii="Calibri" w:hAnsi="Calibri" w:cs="Calibri"/>
                <w:sz w:val="28"/>
                <w:szCs w:val="28"/>
              </w:rPr>
              <w:t>Požadavky kupujícího</w:t>
            </w:r>
          </w:p>
        </w:tc>
        <w:tc>
          <w:tcPr>
            <w:tcW w:w="3958"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FD0BAFF" w14:textId="77777777" w:rsidR="00AD1CEA" w:rsidRDefault="00AD1CEA">
            <w:pPr>
              <w:jc w:val="center"/>
              <w:rPr>
                <w:rFonts w:ascii="Calibri" w:hAnsi="Calibri" w:cs="Calibri"/>
                <w:sz w:val="28"/>
                <w:szCs w:val="28"/>
              </w:rPr>
            </w:pPr>
            <w:r>
              <w:rPr>
                <w:rFonts w:ascii="Calibri" w:hAnsi="Calibri" w:cs="Calibri"/>
                <w:sz w:val="28"/>
                <w:szCs w:val="28"/>
              </w:rPr>
              <w:t>Nabídka prodávajícího</w:t>
            </w:r>
          </w:p>
        </w:tc>
      </w:tr>
      <w:tr w:rsidR="00AD1CEA" w14:paraId="47CD239B" w14:textId="77777777" w:rsidTr="00B5689E">
        <w:trPr>
          <w:trHeight w:val="612"/>
        </w:trPr>
        <w:tc>
          <w:tcPr>
            <w:tcW w:w="5660" w:type="dxa"/>
            <w:gridSpan w:val="2"/>
            <w:tcBorders>
              <w:top w:val="single" w:sz="4" w:space="0" w:color="auto"/>
              <w:left w:val="single" w:sz="8" w:space="0" w:color="auto"/>
              <w:bottom w:val="single" w:sz="4" w:space="0" w:color="auto"/>
              <w:right w:val="single" w:sz="4" w:space="0" w:color="auto"/>
            </w:tcBorders>
            <w:shd w:val="clear" w:color="000000" w:fill="99CCFF"/>
            <w:vAlign w:val="center"/>
            <w:hideMark/>
          </w:tcPr>
          <w:p w14:paraId="50A975BB" w14:textId="77777777" w:rsidR="00AD1CEA" w:rsidRDefault="00AD1CEA">
            <w:pPr>
              <w:jc w:val="center"/>
              <w:rPr>
                <w:rFonts w:ascii="Calibri" w:hAnsi="Calibri" w:cs="Calibri"/>
                <w:b/>
                <w:bCs/>
                <w:sz w:val="22"/>
                <w:szCs w:val="22"/>
              </w:rPr>
            </w:pPr>
            <w:r>
              <w:rPr>
                <w:rFonts w:ascii="Calibri" w:hAnsi="Calibri" w:cs="Calibri"/>
                <w:b/>
                <w:bCs/>
                <w:sz w:val="22"/>
                <w:szCs w:val="22"/>
              </w:rPr>
              <w:t>Notebook DSŘ</w:t>
            </w:r>
          </w:p>
        </w:tc>
        <w:tc>
          <w:tcPr>
            <w:tcW w:w="3958" w:type="dxa"/>
            <w:gridSpan w:val="2"/>
            <w:tcBorders>
              <w:top w:val="single" w:sz="4" w:space="0" w:color="auto"/>
              <w:left w:val="single" w:sz="8" w:space="0" w:color="auto"/>
              <w:bottom w:val="single" w:sz="4" w:space="0" w:color="auto"/>
              <w:right w:val="single" w:sz="8" w:space="0" w:color="000000"/>
            </w:tcBorders>
            <w:shd w:val="clear" w:color="000000" w:fill="FFFF00"/>
            <w:vAlign w:val="center"/>
            <w:hideMark/>
          </w:tcPr>
          <w:p w14:paraId="10166FD6" w14:textId="77777777" w:rsidR="00AD1CEA" w:rsidRDefault="00AD1CEA">
            <w:pPr>
              <w:jc w:val="center"/>
              <w:rPr>
                <w:rFonts w:ascii="Calibri" w:hAnsi="Calibri" w:cs="Calibri"/>
                <w:b/>
                <w:bCs/>
                <w:sz w:val="22"/>
                <w:szCs w:val="22"/>
              </w:rPr>
            </w:pPr>
            <w:r>
              <w:rPr>
                <w:rFonts w:ascii="Calibri" w:hAnsi="Calibri" w:cs="Calibri"/>
                <w:b/>
                <w:bCs/>
                <w:sz w:val="22"/>
                <w:szCs w:val="22"/>
              </w:rPr>
              <w:t>Dell Latitude 5550 XCTO Base (210-BLYZ)</w:t>
            </w:r>
          </w:p>
        </w:tc>
      </w:tr>
      <w:tr w:rsidR="00AD1CEA" w14:paraId="1ECC3AA1" w14:textId="77777777" w:rsidTr="00B5689E">
        <w:trPr>
          <w:trHeight w:val="300"/>
        </w:trPr>
        <w:tc>
          <w:tcPr>
            <w:tcW w:w="0" w:type="auto"/>
            <w:tcBorders>
              <w:top w:val="nil"/>
              <w:left w:val="single" w:sz="8" w:space="0" w:color="auto"/>
              <w:bottom w:val="single" w:sz="4" w:space="0" w:color="auto"/>
              <w:right w:val="single" w:sz="4" w:space="0" w:color="auto"/>
            </w:tcBorders>
            <w:shd w:val="clear" w:color="000000" w:fill="99CCFF"/>
            <w:vAlign w:val="center"/>
            <w:hideMark/>
          </w:tcPr>
          <w:p w14:paraId="23DBDA5C" w14:textId="77777777" w:rsidR="00AD1CEA" w:rsidRDefault="00AD1CEA">
            <w:pPr>
              <w:rPr>
                <w:rFonts w:ascii="Calibri" w:hAnsi="Calibri" w:cs="Calibri"/>
                <w:b/>
                <w:bCs/>
                <w:sz w:val="22"/>
                <w:szCs w:val="22"/>
              </w:rPr>
            </w:pPr>
            <w:r>
              <w:rPr>
                <w:rFonts w:ascii="Calibri" w:hAnsi="Calibri" w:cs="Calibri"/>
                <w:b/>
                <w:bCs/>
                <w:sz w:val="22"/>
                <w:szCs w:val="22"/>
              </w:rPr>
              <w:t>Parametr</w:t>
            </w:r>
          </w:p>
        </w:tc>
        <w:tc>
          <w:tcPr>
            <w:tcW w:w="3907" w:type="dxa"/>
            <w:tcBorders>
              <w:top w:val="nil"/>
              <w:left w:val="nil"/>
              <w:bottom w:val="single" w:sz="4" w:space="0" w:color="auto"/>
              <w:right w:val="nil"/>
            </w:tcBorders>
            <w:shd w:val="clear" w:color="000000" w:fill="99CCFF"/>
            <w:vAlign w:val="center"/>
            <w:hideMark/>
          </w:tcPr>
          <w:p w14:paraId="4454C839" w14:textId="77777777" w:rsidR="00AD1CEA" w:rsidRDefault="00AD1CEA">
            <w:pPr>
              <w:rPr>
                <w:rFonts w:ascii="Calibri" w:hAnsi="Calibri" w:cs="Calibri"/>
                <w:b/>
                <w:bCs/>
                <w:sz w:val="22"/>
                <w:szCs w:val="22"/>
              </w:rPr>
            </w:pPr>
            <w:r>
              <w:rPr>
                <w:rFonts w:ascii="Calibri" w:hAnsi="Calibri" w:cs="Calibri"/>
                <w:b/>
                <w:bCs/>
                <w:sz w:val="22"/>
                <w:szCs w:val="22"/>
              </w:rPr>
              <w:t>Požadavek zadavatele</w:t>
            </w:r>
          </w:p>
        </w:tc>
        <w:tc>
          <w:tcPr>
            <w:tcW w:w="1163" w:type="dxa"/>
            <w:tcBorders>
              <w:top w:val="nil"/>
              <w:left w:val="single" w:sz="8" w:space="0" w:color="auto"/>
              <w:bottom w:val="single" w:sz="4" w:space="0" w:color="auto"/>
              <w:right w:val="single" w:sz="4" w:space="0" w:color="auto"/>
            </w:tcBorders>
            <w:shd w:val="clear" w:color="000000" w:fill="99CCFF"/>
            <w:vAlign w:val="center"/>
            <w:hideMark/>
          </w:tcPr>
          <w:p w14:paraId="03921385" w14:textId="77777777" w:rsidR="00AD1CEA" w:rsidRDefault="00AD1CEA">
            <w:pPr>
              <w:rPr>
                <w:rFonts w:ascii="Calibri" w:hAnsi="Calibri" w:cs="Calibri"/>
                <w:b/>
                <w:bCs/>
                <w:sz w:val="22"/>
                <w:szCs w:val="22"/>
              </w:rPr>
            </w:pPr>
            <w:r>
              <w:rPr>
                <w:rFonts w:ascii="Calibri" w:hAnsi="Calibri" w:cs="Calibri"/>
                <w:b/>
                <w:bCs/>
                <w:sz w:val="22"/>
                <w:szCs w:val="22"/>
              </w:rPr>
              <w:t>Splňuje ANO/NE</w:t>
            </w:r>
          </w:p>
        </w:tc>
        <w:tc>
          <w:tcPr>
            <w:tcW w:w="0" w:type="auto"/>
            <w:tcBorders>
              <w:top w:val="nil"/>
              <w:left w:val="nil"/>
              <w:bottom w:val="single" w:sz="4" w:space="0" w:color="auto"/>
              <w:right w:val="single" w:sz="8" w:space="0" w:color="auto"/>
            </w:tcBorders>
            <w:shd w:val="clear" w:color="000000" w:fill="99CCFF"/>
            <w:vAlign w:val="center"/>
            <w:hideMark/>
          </w:tcPr>
          <w:p w14:paraId="16037C82" w14:textId="77777777" w:rsidR="00AD1CEA" w:rsidRDefault="00AD1CEA">
            <w:pPr>
              <w:rPr>
                <w:rFonts w:ascii="Calibri" w:hAnsi="Calibri" w:cs="Calibri"/>
                <w:b/>
                <w:bCs/>
                <w:sz w:val="22"/>
                <w:szCs w:val="22"/>
              </w:rPr>
            </w:pPr>
            <w:r>
              <w:rPr>
                <w:rFonts w:ascii="Calibri" w:hAnsi="Calibri" w:cs="Calibri"/>
                <w:b/>
                <w:bCs/>
                <w:sz w:val="22"/>
                <w:szCs w:val="22"/>
              </w:rPr>
              <w:t>Popis konkrétního splnění požadavku</w:t>
            </w:r>
          </w:p>
        </w:tc>
      </w:tr>
      <w:tr w:rsidR="00AD1CEA" w14:paraId="2D7C3ABE" w14:textId="77777777" w:rsidTr="00B5689E">
        <w:trPr>
          <w:trHeight w:val="12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BF1FD32" w14:textId="77777777" w:rsidR="00AD1CEA" w:rsidRDefault="00AD1CEA">
            <w:pPr>
              <w:rPr>
                <w:rFonts w:ascii="Calibri" w:hAnsi="Calibri" w:cs="Calibri"/>
                <w:sz w:val="22"/>
                <w:szCs w:val="22"/>
              </w:rPr>
            </w:pPr>
            <w:r>
              <w:rPr>
                <w:rFonts w:ascii="Calibri" w:hAnsi="Calibri" w:cs="Calibri"/>
                <w:sz w:val="22"/>
                <w:szCs w:val="22"/>
              </w:rPr>
              <w:t>Konstrukční provedení:</w:t>
            </w:r>
          </w:p>
        </w:tc>
        <w:tc>
          <w:tcPr>
            <w:tcW w:w="3907" w:type="dxa"/>
            <w:tcBorders>
              <w:top w:val="nil"/>
              <w:left w:val="nil"/>
              <w:bottom w:val="single" w:sz="4" w:space="0" w:color="auto"/>
              <w:right w:val="nil"/>
            </w:tcBorders>
            <w:shd w:val="clear" w:color="auto" w:fill="auto"/>
            <w:vAlign w:val="center"/>
            <w:hideMark/>
          </w:tcPr>
          <w:p w14:paraId="2D8B1E50" w14:textId="77777777" w:rsidR="00AD1CEA" w:rsidRDefault="00AD1CEA">
            <w:pPr>
              <w:rPr>
                <w:rFonts w:ascii="Calibri" w:hAnsi="Calibri" w:cs="Calibri"/>
                <w:sz w:val="22"/>
                <w:szCs w:val="22"/>
              </w:rPr>
            </w:pPr>
            <w:r>
              <w:rPr>
                <w:rFonts w:ascii="Calibri" w:hAnsi="Calibri" w:cs="Calibri"/>
                <w:sz w:val="22"/>
                <w:szCs w:val="22"/>
              </w:rPr>
              <w:t>Šasi zpevněné konstrukce (kov, skelná vlákna,karbon) s odolnými panty - použití materiálu ABS je možné pouze v kombinaci s kovem, skelnými vlány či karbonem, nikoliv samostatně.</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D16B0E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A8DD047"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06DB907"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E643BF" w14:textId="77777777" w:rsidR="00AD1CEA" w:rsidRDefault="00AD1CEA">
            <w:pPr>
              <w:rPr>
                <w:rFonts w:ascii="Calibri" w:hAnsi="Calibri" w:cs="Calibri"/>
                <w:sz w:val="22"/>
                <w:szCs w:val="22"/>
              </w:rPr>
            </w:pPr>
            <w:r>
              <w:rPr>
                <w:rFonts w:ascii="Calibri" w:hAnsi="Calibri" w:cs="Calibri"/>
                <w:sz w:val="22"/>
                <w:szCs w:val="22"/>
              </w:rPr>
              <w:t>Barva:</w:t>
            </w:r>
          </w:p>
        </w:tc>
        <w:tc>
          <w:tcPr>
            <w:tcW w:w="3907" w:type="dxa"/>
            <w:tcBorders>
              <w:top w:val="nil"/>
              <w:left w:val="nil"/>
              <w:bottom w:val="single" w:sz="4" w:space="0" w:color="auto"/>
              <w:right w:val="nil"/>
            </w:tcBorders>
            <w:shd w:val="clear" w:color="auto" w:fill="auto"/>
            <w:vAlign w:val="center"/>
            <w:hideMark/>
          </w:tcPr>
          <w:p w14:paraId="49C1BD1E" w14:textId="77777777" w:rsidR="00AD1CEA" w:rsidRDefault="00AD1CEA">
            <w:pPr>
              <w:rPr>
                <w:rFonts w:ascii="Calibri" w:hAnsi="Calibri" w:cs="Calibri"/>
                <w:sz w:val="22"/>
                <w:szCs w:val="22"/>
              </w:rPr>
            </w:pPr>
            <w:r>
              <w:rPr>
                <w:rFonts w:ascii="Calibri" w:hAnsi="Calibri" w:cs="Calibri"/>
                <w:sz w:val="22"/>
                <w:szCs w:val="22"/>
              </w:rPr>
              <w:t>Černá, šedá, stříbrná nebo podobné tmavé zabarvení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88113B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7ADE624A" w14:textId="77777777" w:rsidR="00AD1CEA" w:rsidRDefault="00AD1CEA">
            <w:pPr>
              <w:rPr>
                <w:rFonts w:ascii="Calibri" w:hAnsi="Calibri" w:cs="Calibri"/>
                <w:sz w:val="22"/>
                <w:szCs w:val="22"/>
              </w:rPr>
            </w:pPr>
            <w:r>
              <w:rPr>
                <w:rFonts w:ascii="Calibri" w:hAnsi="Calibri" w:cs="Calibri"/>
                <w:sz w:val="22"/>
                <w:szCs w:val="22"/>
              </w:rPr>
              <w:t>stříbrná</w:t>
            </w:r>
          </w:p>
        </w:tc>
      </w:tr>
      <w:tr w:rsidR="00AD1CEA" w14:paraId="04E199D4"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C601D08" w14:textId="77777777" w:rsidR="00AD1CEA" w:rsidRDefault="00AD1CEA">
            <w:pPr>
              <w:rPr>
                <w:rFonts w:ascii="Calibri" w:hAnsi="Calibri" w:cs="Calibri"/>
                <w:sz w:val="22"/>
                <w:szCs w:val="22"/>
              </w:rPr>
            </w:pPr>
            <w:r>
              <w:rPr>
                <w:rFonts w:ascii="Calibri" w:hAnsi="Calibri" w:cs="Calibri"/>
                <w:sz w:val="22"/>
                <w:szCs w:val="22"/>
              </w:rPr>
              <w:t>Váha s baterií bez adaptéru:</w:t>
            </w:r>
          </w:p>
        </w:tc>
        <w:tc>
          <w:tcPr>
            <w:tcW w:w="3907" w:type="dxa"/>
            <w:tcBorders>
              <w:top w:val="nil"/>
              <w:left w:val="nil"/>
              <w:bottom w:val="single" w:sz="4" w:space="0" w:color="auto"/>
              <w:right w:val="nil"/>
            </w:tcBorders>
            <w:shd w:val="clear" w:color="auto" w:fill="auto"/>
            <w:vAlign w:val="center"/>
            <w:hideMark/>
          </w:tcPr>
          <w:p w14:paraId="1E468D6E" w14:textId="77777777" w:rsidR="00AD1CEA" w:rsidRDefault="00AD1CEA">
            <w:pPr>
              <w:rPr>
                <w:rFonts w:ascii="Calibri" w:hAnsi="Calibri" w:cs="Calibri"/>
                <w:sz w:val="22"/>
                <w:szCs w:val="22"/>
              </w:rPr>
            </w:pPr>
            <w:r>
              <w:rPr>
                <w:rFonts w:ascii="Calibri" w:hAnsi="Calibri" w:cs="Calibri"/>
                <w:sz w:val="22"/>
                <w:szCs w:val="22"/>
              </w:rPr>
              <w:t>Max. 2,3 kg v základní konfiguraci bez LTE modemu, grafické karty a čtečky čipových karet</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3AC806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5BC738F9" w14:textId="77777777" w:rsidR="00AD1CEA" w:rsidRDefault="00AD1CEA">
            <w:pPr>
              <w:rPr>
                <w:rFonts w:ascii="Calibri" w:hAnsi="Calibri" w:cs="Calibri"/>
                <w:sz w:val="22"/>
                <w:szCs w:val="22"/>
              </w:rPr>
            </w:pPr>
            <w:r>
              <w:rPr>
                <w:rFonts w:ascii="Calibri" w:hAnsi="Calibri" w:cs="Calibri"/>
                <w:sz w:val="22"/>
                <w:szCs w:val="22"/>
              </w:rPr>
              <w:t>1,62 kg v základní konfiguraci</w:t>
            </w:r>
          </w:p>
        </w:tc>
      </w:tr>
      <w:tr w:rsidR="00AD1CEA" w14:paraId="26E775FD"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DD706AC" w14:textId="77777777" w:rsidR="00AD1CEA" w:rsidRDefault="00AD1CEA">
            <w:pPr>
              <w:rPr>
                <w:rFonts w:ascii="Calibri" w:hAnsi="Calibri" w:cs="Calibri"/>
                <w:sz w:val="22"/>
                <w:szCs w:val="22"/>
              </w:rPr>
            </w:pPr>
            <w:r>
              <w:rPr>
                <w:rFonts w:ascii="Calibri" w:hAnsi="Calibri" w:cs="Calibri"/>
                <w:sz w:val="22"/>
                <w:szCs w:val="22"/>
              </w:rPr>
              <w:t>Procesor:</w:t>
            </w:r>
          </w:p>
        </w:tc>
        <w:tc>
          <w:tcPr>
            <w:tcW w:w="3907" w:type="dxa"/>
            <w:tcBorders>
              <w:top w:val="nil"/>
              <w:left w:val="nil"/>
              <w:bottom w:val="single" w:sz="4" w:space="0" w:color="auto"/>
              <w:right w:val="nil"/>
            </w:tcBorders>
            <w:shd w:val="clear" w:color="auto" w:fill="auto"/>
            <w:vAlign w:val="center"/>
            <w:hideMark/>
          </w:tcPr>
          <w:p w14:paraId="1D27D837" w14:textId="77777777" w:rsidR="00AD1CEA" w:rsidRDefault="00AD1CEA">
            <w:pPr>
              <w:rPr>
                <w:rFonts w:ascii="Calibri" w:hAnsi="Calibri" w:cs="Calibri"/>
                <w:sz w:val="22"/>
                <w:szCs w:val="22"/>
              </w:rPr>
            </w:pPr>
            <w:r>
              <w:rPr>
                <w:rFonts w:ascii="Calibri" w:hAnsi="Calibri" w:cs="Calibri"/>
                <w:sz w:val="22"/>
                <w:szCs w:val="22"/>
              </w:rPr>
              <w:t>1x, min. hodnota dle PassMark - 19 000 bodů, skóre dle verze 10 PassMark CPU Mark (dle Přílohy č. 5 Výzvy)</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C9E86C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08A46C9D" w14:textId="77777777" w:rsidR="00AD1CEA" w:rsidRDefault="00AD1CEA">
            <w:pPr>
              <w:rPr>
                <w:rFonts w:ascii="Calibri" w:hAnsi="Calibri" w:cs="Calibri"/>
                <w:sz w:val="22"/>
                <w:szCs w:val="22"/>
              </w:rPr>
            </w:pPr>
            <w:r>
              <w:rPr>
                <w:rFonts w:ascii="Calibri" w:hAnsi="Calibri" w:cs="Calibri"/>
                <w:sz w:val="22"/>
                <w:szCs w:val="22"/>
              </w:rPr>
              <w:t>Intel Core Ultra 5 135H vPro  (počet bodů 24 276)</w:t>
            </w:r>
          </w:p>
        </w:tc>
      </w:tr>
      <w:tr w:rsidR="00AD1CEA" w14:paraId="31EB0BF0"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8A6322B"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3ADF6B7F" w14:textId="77777777" w:rsidR="00AD1CEA" w:rsidRDefault="00AD1CEA">
            <w:pPr>
              <w:rPr>
                <w:rFonts w:ascii="Calibri" w:hAnsi="Calibri" w:cs="Calibri"/>
                <w:sz w:val="22"/>
                <w:szCs w:val="22"/>
              </w:rPr>
            </w:pPr>
            <w:r>
              <w:rPr>
                <w:rFonts w:ascii="Calibri" w:hAnsi="Calibri" w:cs="Calibri"/>
                <w:sz w:val="22"/>
                <w:szCs w:val="22"/>
              </w:rPr>
              <w:t>Podpora rozšíření instrukční sady AES-NI</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82BB2BE"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F74E111"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771D085"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35C9F6"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79198B1" w14:textId="77777777" w:rsidR="00AD1CEA" w:rsidRDefault="00AD1CEA">
            <w:pPr>
              <w:rPr>
                <w:rFonts w:ascii="Calibri" w:hAnsi="Calibri" w:cs="Calibri"/>
                <w:sz w:val="22"/>
                <w:szCs w:val="22"/>
              </w:rPr>
            </w:pPr>
            <w:r>
              <w:rPr>
                <w:rFonts w:ascii="Calibri" w:hAnsi="Calibri" w:cs="Calibri"/>
                <w:sz w:val="22"/>
                <w:szCs w:val="22"/>
              </w:rPr>
              <w:t>Virtualizace procesoru a síťové karty</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79B8C3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455F6350"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836ADCB"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598410"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592C3C7E" w14:textId="77777777" w:rsidR="00AD1CEA" w:rsidRDefault="00AD1CEA">
            <w:pPr>
              <w:rPr>
                <w:rFonts w:ascii="Calibri" w:hAnsi="Calibri" w:cs="Calibri"/>
                <w:sz w:val="22"/>
                <w:szCs w:val="22"/>
              </w:rPr>
            </w:pPr>
            <w:r>
              <w:rPr>
                <w:rFonts w:ascii="Calibri" w:hAnsi="Calibri" w:cs="Calibri"/>
                <w:sz w:val="22"/>
                <w:szCs w:val="22"/>
              </w:rPr>
              <w:t>Technologie 64 bit</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1199015"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1CB93518"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74D14BF"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4B5F095" w14:textId="77777777" w:rsidR="00AD1CEA" w:rsidRDefault="00AD1CEA">
            <w:pPr>
              <w:rPr>
                <w:rFonts w:ascii="Calibri" w:hAnsi="Calibri" w:cs="Calibri"/>
                <w:sz w:val="22"/>
                <w:szCs w:val="22"/>
              </w:rPr>
            </w:pPr>
            <w:r>
              <w:rPr>
                <w:rFonts w:ascii="Calibri" w:hAnsi="Calibri" w:cs="Calibri"/>
                <w:sz w:val="22"/>
                <w:szCs w:val="22"/>
              </w:rPr>
              <w:t>Jednotná správa:</w:t>
            </w:r>
          </w:p>
        </w:tc>
        <w:tc>
          <w:tcPr>
            <w:tcW w:w="3907" w:type="dxa"/>
            <w:tcBorders>
              <w:top w:val="nil"/>
              <w:left w:val="nil"/>
              <w:bottom w:val="single" w:sz="4" w:space="0" w:color="auto"/>
              <w:right w:val="nil"/>
            </w:tcBorders>
            <w:shd w:val="clear" w:color="auto" w:fill="auto"/>
            <w:vAlign w:val="center"/>
            <w:hideMark/>
          </w:tcPr>
          <w:p w14:paraId="42DB4192" w14:textId="77777777" w:rsidR="00AD1CEA" w:rsidRDefault="00AD1CEA">
            <w:pPr>
              <w:rPr>
                <w:rFonts w:ascii="Calibri" w:hAnsi="Calibri" w:cs="Calibri"/>
                <w:sz w:val="22"/>
                <w:szCs w:val="22"/>
              </w:rPr>
            </w:pPr>
            <w:r>
              <w:rPr>
                <w:rFonts w:ascii="Calibri" w:hAnsi="Calibri" w:cs="Calibri"/>
                <w:sz w:val="22"/>
                <w:szCs w:val="22"/>
              </w:rPr>
              <w:t>Vzdálená správa NTB prostřednictvím MSSC</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706F55C7"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A3AA807"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A674533"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21B523" w14:textId="77777777" w:rsidR="00AD1CEA" w:rsidRDefault="00AD1CEA">
            <w:pPr>
              <w:rPr>
                <w:rFonts w:ascii="Calibri" w:hAnsi="Calibri" w:cs="Calibri"/>
                <w:sz w:val="22"/>
                <w:szCs w:val="22"/>
              </w:rPr>
            </w:pPr>
            <w:r>
              <w:rPr>
                <w:rFonts w:ascii="Calibri" w:hAnsi="Calibri" w:cs="Calibri"/>
                <w:sz w:val="22"/>
                <w:szCs w:val="22"/>
              </w:rPr>
              <w:t>Operační paměť:</w:t>
            </w:r>
          </w:p>
        </w:tc>
        <w:tc>
          <w:tcPr>
            <w:tcW w:w="3907" w:type="dxa"/>
            <w:tcBorders>
              <w:top w:val="nil"/>
              <w:left w:val="nil"/>
              <w:bottom w:val="single" w:sz="4" w:space="0" w:color="auto"/>
              <w:right w:val="nil"/>
            </w:tcBorders>
            <w:shd w:val="clear" w:color="000000" w:fill="FFFFFF"/>
            <w:vAlign w:val="center"/>
            <w:hideMark/>
          </w:tcPr>
          <w:p w14:paraId="5F2EB9B5" w14:textId="77777777" w:rsidR="00AD1CEA" w:rsidRDefault="00AD1CEA">
            <w:pPr>
              <w:rPr>
                <w:rFonts w:ascii="Calibri" w:hAnsi="Calibri" w:cs="Calibri"/>
                <w:sz w:val="22"/>
                <w:szCs w:val="22"/>
              </w:rPr>
            </w:pPr>
            <w:r>
              <w:rPr>
                <w:rFonts w:ascii="Calibri" w:hAnsi="Calibri" w:cs="Calibri"/>
                <w:sz w:val="22"/>
                <w:szCs w:val="22"/>
              </w:rPr>
              <w:t>Min. 32 GB DDR5</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E97453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2C4767D6" w14:textId="77777777" w:rsidR="00AD1CEA" w:rsidRDefault="00AD1CEA">
            <w:pPr>
              <w:rPr>
                <w:rFonts w:ascii="Calibri" w:hAnsi="Calibri" w:cs="Calibri"/>
                <w:sz w:val="22"/>
                <w:szCs w:val="22"/>
              </w:rPr>
            </w:pPr>
            <w:r>
              <w:rPr>
                <w:rFonts w:ascii="Calibri" w:hAnsi="Calibri" w:cs="Calibri"/>
                <w:sz w:val="22"/>
                <w:szCs w:val="22"/>
              </w:rPr>
              <w:t>32GB DDR5</w:t>
            </w:r>
          </w:p>
        </w:tc>
      </w:tr>
      <w:tr w:rsidR="00AD1CEA" w14:paraId="227C508B"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6D681CD" w14:textId="77777777" w:rsidR="00AD1CEA" w:rsidRDefault="00AD1CEA">
            <w:pPr>
              <w:rPr>
                <w:rFonts w:ascii="Calibri" w:hAnsi="Calibri" w:cs="Calibri"/>
                <w:sz w:val="22"/>
                <w:szCs w:val="22"/>
              </w:rPr>
            </w:pPr>
            <w:r>
              <w:rPr>
                <w:rFonts w:ascii="Calibri" w:hAnsi="Calibri" w:cs="Calibri"/>
                <w:sz w:val="22"/>
                <w:szCs w:val="22"/>
              </w:rPr>
              <w:t>UEFI/BIOS:</w:t>
            </w:r>
          </w:p>
        </w:tc>
        <w:tc>
          <w:tcPr>
            <w:tcW w:w="3907" w:type="dxa"/>
            <w:tcBorders>
              <w:top w:val="nil"/>
              <w:left w:val="nil"/>
              <w:bottom w:val="single" w:sz="4" w:space="0" w:color="auto"/>
              <w:right w:val="nil"/>
            </w:tcBorders>
            <w:shd w:val="clear" w:color="auto" w:fill="auto"/>
            <w:hideMark/>
          </w:tcPr>
          <w:p w14:paraId="1E3E923B" w14:textId="77777777" w:rsidR="00AD1CEA" w:rsidRDefault="00AD1CEA">
            <w:pPr>
              <w:rPr>
                <w:rFonts w:ascii="Calibri" w:hAnsi="Calibri" w:cs="Calibri"/>
                <w:sz w:val="22"/>
                <w:szCs w:val="22"/>
              </w:rPr>
            </w:pPr>
            <w:r>
              <w:rPr>
                <w:rFonts w:ascii="Calibri" w:hAnsi="Calibri" w:cs="Calibri"/>
                <w:sz w:val="22"/>
                <w:szCs w:val="22"/>
              </w:rPr>
              <w:t>Podpora Windows 10 Virtualization-based Security (VBS) – VT-x, SLAT, VT-D, WSMT, UEFI MAT, EFI Page Protections, MOR v2 (nebo ekvivalentní)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17CA58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5E7A39C"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8344E16"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62AB92B"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000E63D7" w14:textId="77777777" w:rsidR="00AD1CEA" w:rsidRDefault="00AD1CEA">
            <w:pPr>
              <w:rPr>
                <w:rFonts w:ascii="Calibri" w:hAnsi="Calibri" w:cs="Calibri"/>
                <w:sz w:val="22"/>
                <w:szCs w:val="22"/>
              </w:rPr>
            </w:pPr>
            <w:r>
              <w:rPr>
                <w:rFonts w:ascii="Calibri" w:hAnsi="Calibri" w:cs="Calibri"/>
                <w:sz w:val="22"/>
                <w:szCs w:val="22"/>
              </w:rPr>
              <w:t>Identifikace UEFI (Unified Extensible Firmware Interface) / BIOS musí obsahovat sériové číslo a informace o výrobci a modelu</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318F1F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F06854B"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1349C9F"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9A47289"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34CAFC17" w14:textId="77777777" w:rsidR="00AD1CEA" w:rsidRDefault="00AD1CEA">
            <w:pPr>
              <w:rPr>
                <w:rFonts w:ascii="Calibri" w:hAnsi="Calibri" w:cs="Calibri"/>
                <w:sz w:val="22"/>
                <w:szCs w:val="22"/>
              </w:rPr>
            </w:pPr>
            <w:r>
              <w:rPr>
                <w:rFonts w:ascii="Calibri" w:hAnsi="Calibri" w:cs="Calibri"/>
                <w:sz w:val="22"/>
                <w:szCs w:val="22"/>
              </w:rPr>
              <w:t xml:space="preserve">Možnost zabezpečení heslem proti neoprávněnému přístupu do BIOS </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A35BDD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ABFF55C"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1CAFC78"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693D33"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325DCBA2" w14:textId="77777777" w:rsidR="00AD1CEA" w:rsidRDefault="00AD1CEA">
            <w:pPr>
              <w:rPr>
                <w:rFonts w:ascii="Calibri" w:hAnsi="Calibri" w:cs="Calibri"/>
                <w:sz w:val="22"/>
                <w:szCs w:val="22"/>
              </w:rPr>
            </w:pPr>
            <w:r>
              <w:rPr>
                <w:rFonts w:ascii="Calibri" w:hAnsi="Calibri" w:cs="Calibri"/>
                <w:sz w:val="22"/>
                <w:szCs w:val="22"/>
              </w:rPr>
              <w:t xml:space="preserve">Podpora SecureBoot s kapacitou NVRAM minimálně 128 KB pro uložení klíčů (PK, KEK, db, dbx) </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5359D44D"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38326EA2"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AF9760C"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344433C"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4CD4451E" w14:textId="77777777" w:rsidR="00AD1CEA" w:rsidRDefault="00AD1CEA">
            <w:pPr>
              <w:rPr>
                <w:rFonts w:ascii="Calibri" w:hAnsi="Calibri" w:cs="Calibri"/>
                <w:sz w:val="22"/>
                <w:szCs w:val="22"/>
              </w:rPr>
            </w:pPr>
            <w:r>
              <w:rPr>
                <w:rFonts w:ascii="Calibri" w:hAnsi="Calibri" w:cs="Calibri"/>
                <w:sz w:val="22"/>
                <w:szCs w:val="22"/>
              </w:rPr>
              <w:t>Možnost zablokování zavedení operačního systému z periferií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066C651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76F115B"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B2A4BAD"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3287B8"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308D841F" w14:textId="77777777" w:rsidR="00AD1CEA" w:rsidRDefault="00AD1CEA">
            <w:pPr>
              <w:rPr>
                <w:rFonts w:ascii="Calibri" w:hAnsi="Calibri" w:cs="Calibri"/>
                <w:sz w:val="22"/>
                <w:szCs w:val="22"/>
              </w:rPr>
            </w:pPr>
            <w:r>
              <w:rPr>
                <w:rFonts w:ascii="Calibri" w:hAnsi="Calibri" w:cs="Calibri"/>
                <w:sz w:val="22"/>
                <w:szCs w:val="22"/>
              </w:rPr>
              <w:t xml:space="preserve">Možnost zablokování vybraných zařízení (periferií) tak, aby s nimi nemohl pracovat OS </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01270C7"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1E7D6221"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D1593CA"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0A614D3" w14:textId="77777777" w:rsidR="00AD1CEA" w:rsidRDefault="00AD1CEA">
            <w:pPr>
              <w:rPr>
                <w:rFonts w:ascii="Calibri" w:hAnsi="Calibri" w:cs="Calibri"/>
                <w:sz w:val="22"/>
                <w:szCs w:val="22"/>
              </w:rPr>
            </w:pPr>
            <w:r>
              <w:rPr>
                <w:rFonts w:ascii="Calibri" w:hAnsi="Calibri" w:cs="Calibri"/>
                <w:sz w:val="22"/>
                <w:szCs w:val="22"/>
              </w:rPr>
              <w:t>Pevný disk:</w:t>
            </w:r>
          </w:p>
        </w:tc>
        <w:tc>
          <w:tcPr>
            <w:tcW w:w="3907" w:type="dxa"/>
            <w:tcBorders>
              <w:top w:val="nil"/>
              <w:left w:val="nil"/>
              <w:bottom w:val="single" w:sz="4" w:space="0" w:color="auto"/>
              <w:right w:val="nil"/>
            </w:tcBorders>
            <w:shd w:val="clear" w:color="auto" w:fill="auto"/>
            <w:vAlign w:val="center"/>
            <w:hideMark/>
          </w:tcPr>
          <w:p w14:paraId="6E79A87C" w14:textId="77777777" w:rsidR="00AD1CEA" w:rsidRDefault="00AD1CEA">
            <w:pPr>
              <w:rPr>
                <w:rFonts w:ascii="Calibri" w:hAnsi="Calibri" w:cs="Calibri"/>
                <w:sz w:val="22"/>
                <w:szCs w:val="22"/>
              </w:rPr>
            </w:pPr>
            <w:r>
              <w:rPr>
                <w:rFonts w:ascii="Calibri" w:hAnsi="Calibri" w:cs="Calibri"/>
                <w:sz w:val="22"/>
                <w:szCs w:val="22"/>
              </w:rPr>
              <w:t>SSD, min. 512 GB M2</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C4181F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08242113" w14:textId="77777777" w:rsidR="00AD1CEA" w:rsidRDefault="00AD1CEA">
            <w:pPr>
              <w:rPr>
                <w:rFonts w:ascii="Calibri" w:hAnsi="Calibri" w:cs="Calibri"/>
                <w:sz w:val="22"/>
                <w:szCs w:val="22"/>
              </w:rPr>
            </w:pPr>
            <w:r>
              <w:rPr>
                <w:rFonts w:ascii="Calibri" w:hAnsi="Calibri" w:cs="Calibri"/>
                <w:sz w:val="22"/>
                <w:szCs w:val="22"/>
              </w:rPr>
              <w:t>SSD, 512 GB M2</w:t>
            </w:r>
          </w:p>
        </w:tc>
      </w:tr>
      <w:tr w:rsidR="00AD1CEA" w14:paraId="6D366DE4"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FD3ADEE"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6C485EA" w14:textId="77777777" w:rsidR="00AD1CEA" w:rsidRDefault="00AD1CEA">
            <w:pPr>
              <w:rPr>
                <w:rFonts w:ascii="Calibri" w:hAnsi="Calibri" w:cs="Calibri"/>
                <w:sz w:val="22"/>
                <w:szCs w:val="22"/>
              </w:rPr>
            </w:pPr>
            <w:r>
              <w:rPr>
                <w:rFonts w:ascii="Calibri" w:hAnsi="Calibri" w:cs="Calibri"/>
                <w:sz w:val="22"/>
                <w:szCs w:val="22"/>
              </w:rPr>
              <w:t>Rychlost čtení / zápis min. 2000 MB/s</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5C521EA0"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556DB7F1"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75E3D9B"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C22BFC2" w14:textId="77777777" w:rsidR="00AD1CEA" w:rsidRDefault="00AD1CEA">
            <w:pPr>
              <w:rPr>
                <w:rFonts w:ascii="Calibri" w:hAnsi="Calibri" w:cs="Calibri"/>
                <w:sz w:val="22"/>
                <w:szCs w:val="22"/>
              </w:rPr>
            </w:pPr>
            <w:r>
              <w:rPr>
                <w:rFonts w:ascii="Calibri" w:hAnsi="Calibri" w:cs="Calibri"/>
                <w:sz w:val="22"/>
                <w:szCs w:val="22"/>
              </w:rPr>
              <w:t>Display:</w:t>
            </w:r>
          </w:p>
        </w:tc>
        <w:tc>
          <w:tcPr>
            <w:tcW w:w="3907" w:type="dxa"/>
            <w:tcBorders>
              <w:top w:val="nil"/>
              <w:left w:val="nil"/>
              <w:bottom w:val="single" w:sz="4" w:space="0" w:color="auto"/>
              <w:right w:val="nil"/>
            </w:tcBorders>
            <w:shd w:val="clear" w:color="auto" w:fill="auto"/>
            <w:vAlign w:val="center"/>
            <w:hideMark/>
          </w:tcPr>
          <w:p w14:paraId="3C23601A" w14:textId="77777777" w:rsidR="00AD1CEA" w:rsidRDefault="00AD1CEA">
            <w:pPr>
              <w:rPr>
                <w:rFonts w:ascii="Calibri" w:hAnsi="Calibri" w:cs="Calibri"/>
                <w:sz w:val="22"/>
                <w:szCs w:val="22"/>
              </w:rPr>
            </w:pPr>
            <w:r>
              <w:rPr>
                <w:rFonts w:ascii="Calibri" w:hAnsi="Calibri" w:cs="Calibri"/>
                <w:sz w:val="22"/>
                <w:szCs w:val="22"/>
              </w:rPr>
              <w:t>Úhlopříčka v rozmezí 13,6“ - 16,0“, nativní rozlišení min. 1920x1200 nebo 1920x1080</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342A8B2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5F2847FA" w14:textId="77777777" w:rsidR="00AD1CEA" w:rsidRDefault="00AD1CEA">
            <w:pPr>
              <w:rPr>
                <w:rFonts w:ascii="Calibri" w:hAnsi="Calibri" w:cs="Calibri"/>
                <w:sz w:val="22"/>
                <w:szCs w:val="22"/>
              </w:rPr>
            </w:pPr>
            <w:r>
              <w:rPr>
                <w:rFonts w:ascii="Calibri" w:hAnsi="Calibri" w:cs="Calibri"/>
                <w:sz w:val="22"/>
                <w:szCs w:val="22"/>
              </w:rPr>
              <w:t>15,6", 1920x1080 FHD</w:t>
            </w:r>
          </w:p>
        </w:tc>
      </w:tr>
      <w:tr w:rsidR="00AD1CEA" w14:paraId="3E9E1114"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6E197B"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4BD46A09" w14:textId="77777777" w:rsidR="00AD1CEA" w:rsidRDefault="00AD1CEA">
            <w:pPr>
              <w:rPr>
                <w:rFonts w:ascii="Calibri" w:hAnsi="Calibri" w:cs="Calibri"/>
                <w:sz w:val="22"/>
                <w:szCs w:val="22"/>
              </w:rPr>
            </w:pPr>
            <w:r>
              <w:rPr>
                <w:rFonts w:ascii="Calibri" w:hAnsi="Calibri" w:cs="Calibri"/>
                <w:sz w:val="22"/>
                <w:szCs w:val="22"/>
              </w:rPr>
              <w:t>LED podsvícení, antireflexní,  matný</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EF4B9C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D86FCD2"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653654D" w14:textId="77777777" w:rsidTr="00B5689E">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211CB"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1774E" w14:textId="77777777" w:rsidR="00AD1CEA" w:rsidRDefault="00AD1CEA">
            <w:pPr>
              <w:rPr>
                <w:rFonts w:ascii="Calibri" w:hAnsi="Calibri" w:cs="Calibri"/>
                <w:sz w:val="22"/>
                <w:szCs w:val="22"/>
              </w:rPr>
            </w:pPr>
            <w:r>
              <w:rPr>
                <w:rFonts w:ascii="Calibri" w:hAnsi="Calibri" w:cs="Calibri"/>
                <w:sz w:val="22"/>
                <w:szCs w:val="22"/>
              </w:rPr>
              <w:t>Svítivost min. 400 nits, min. 99 % sRGB</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6FACE04"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4EBE51C2"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8F3FC53" w14:textId="77777777" w:rsidTr="00331A37">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23567"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7A920" w14:textId="77777777" w:rsidR="00AD1CEA" w:rsidRDefault="00AD1CEA">
            <w:pPr>
              <w:rPr>
                <w:rFonts w:ascii="Calibri" w:hAnsi="Calibri" w:cs="Calibri"/>
                <w:sz w:val="22"/>
                <w:szCs w:val="22"/>
              </w:rPr>
            </w:pPr>
            <w:r>
              <w:rPr>
                <w:rFonts w:ascii="Calibri" w:hAnsi="Calibri" w:cs="Calibri"/>
                <w:sz w:val="22"/>
                <w:szCs w:val="22"/>
              </w:rPr>
              <w:t>IPS</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D10227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2F061F85"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D93E98F" w14:textId="77777777" w:rsidTr="00331A37">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3A8CF" w14:textId="77777777" w:rsidR="00AD1CEA" w:rsidRDefault="00AD1CEA">
            <w:pPr>
              <w:rPr>
                <w:rFonts w:ascii="Calibri" w:hAnsi="Calibri" w:cs="Calibri"/>
                <w:sz w:val="22"/>
                <w:szCs w:val="22"/>
              </w:rPr>
            </w:pPr>
            <w:r>
              <w:rPr>
                <w:rFonts w:ascii="Calibri" w:hAnsi="Calibri" w:cs="Calibri"/>
                <w:sz w:val="22"/>
                <w:szCs w:val="22"/>
              </w:rPr>
              <w:lastRenderedPageBreak/>
              <w:t>Grafická karta:</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FF0ED" w14:textId="77777777" w:rsidR="00AD1CEA" w:rsidRDefault="00AD1CEA">
            <w:pPr>
              <w:rPr>
                <w:rFonts w:ascii="Calibri" w:hAnsi="Calibri" w:cs="Calibri"/>
                <w:sz w:val="22"/>
                <w:szCs w:val="22"/>
              </w:rPr>
            </w:pPr>
            <w:r>
              <w:rPr>
                <w:rFonts w:ascii="Calibri" w:hAnsi="Calibri" w:cs="Calibri"/>
                <w:sz w:val="22"/>
                <w:szCs w:val="22"/>
              </w:rPr>
              <w:t>Dedikovaná, podporující vícemonitorové zobrazení, podpora min. 4K@60Hz na dvou monitorech zároveň (při vypnutém displeji notebooku)</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09AAB3D"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48A7EF4B"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B7CB67C"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E740C08"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24FE7D21" w14:textId="77777777" w:rsidR="00AD1CEA" w:rsidRDefault="00AD1CEA">
            <w:pPr>
              <w:rPr>
                <w:rFonts w:ascii="Calibri" w:hAnsi="Calibri" w:cs="Calibri"/>
                <w:sz w:val="22"/>
                <w:szCs w:val="22"/>
              </w:rPr>
            </w:pPr>
            <w:r>
              <w:rPr>
                <w:rFonts w:ascii="Calibri" w:hAnsi="Calibri" w:cs="Calibri"/>
                <w:sz w:val="22"/>
                <w:szCs w:val="22"/>
              </w:rPr>
              <w:t>Min. hodnota dle PassMark G3D- 6800 bodů, https://www.videocardbenchmark.net/gpu_list.php (dle Přílohy č. 6 Výzvy)</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521315E2"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413B5019" w14:textId="77777777" w:rsidR="00AD1CEA" w:rsidRDefault="00AD1CEA">
            <w:pPr>
              <w:rPr>
                <w:rFonts w:ascii="Calibri" w:hAnsi="Calibri" w:cs="Calibri"/>
                <w:sz w:val="22"/>
                <w:szCs w:val="22"/>
              </w:rPr>
            </w:pPr>
            <w:r>
              <w:rPr>
                <w:rFonts w:ascii="Calibri" w:hAnsi="Calibri" w:cs="Calibri"/>
                <w:sz w:val="22"/>
                <w:szCs w:val="22"/>
              </w:rPr>
              <w:t>NVIDIA GeForce RTX 2050 (4 GB GDDR6) graphics for Intel Core Ultra 5 135H vPro processor (hodnota benchmarku 7 550)</w:t>
            </w:r>
          </w:p>
        </w:tc>
      </w:tr>
      <w:tr w:rsidR="00AD1CEA" w14:paraId="4886F58E"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A718000"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hideMark/>
          </w:tcPr>
          <w:p w14:paraId="0F484862" w14:textId="77777777" w:rsidR="00AD1CEA" w:rsidRDefault="00AD1CEA">
            <w:pPr>
              <w:rPr>
                <w:rFonts w:ascii="Calibri" w:hAnsi="Calibri" w:cs="Calibri"/>
                <w:sz w:val="22"/>
                <w:szCs w:val="22"/>
              </w:rPr>
            </w:pPr>
            <w:r>
              <w:rPr>
                <w:rFonts w:ascii="Calibri" w:hAnsi="Calibri" w:cs="Calibri"/>
                <w:sz w:val="22"/>
                <w:szCs w:val="22"/>
              </w:rPr>
              <w:t>Min. 4 GB paměti</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30D9CE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1C497129"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CD0EFA3"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87233F" w14:textId="77777777" w:rsidR="00AD1CEA" w:rsidRDefault="00AD1CEA">
            <w:pPr>
              <w:rPr>
                <w:rFonts w:ascii="Calibri" w:hAnsi="Calibri" w:cs="Calibri"/>
                <w:sz w:val="22"/>
                <w:szCs w:val="22"/>
              </w:rPr>
            </w:pPr>
            <w:r>
              <w:rPr>
                <w:rFonts w:ascii="Calibri" w:hAnsi="Calibri" w:cs="Calibri"/>
                <w:sz w:val="22"/>
                <w:szCs w:val="22"/>
              </w:rPr>
              <w:t>Zvuková karta:</w:t>
            </w:r>
          </w:p>
        </w:tc>
        <w:tc>
          <w:tcPr>
            <w:tcW w:w="3907" w:type="dxa"/>
            <w:tcBorders>
              <w:top w:val="nil"/>
              <w:left w:val="nil"/>
              <w:bottom w:val="single" w:sz="4" w:space="0" w:color="auto"/>
              <w:right w:val="nil"/>
            </w:tcBorders>
            <w:shd w:val="clear" w:color="auto" w:fill="auto"/>
            <w:vAlign w:val="center"/>
            <w:hideMark/>
          </w:tcPr>
          <w:p w14:paraId="67601FD8" w14:textId="77777777" w:rsidR="00AD1CEA" w:rsidRDefault="00AD1CEA">
            <w:pPr>
              <w:rPr>
                <w:rFonts w:ascii="Calibri" w:hAnsi="Calibri" w:cs="Calibri"/>
                <w:sz w:val="22"/>
                <w:szCs w:val="22"/>
              </w:rPr>
            </w:pPr>
            <w:r>
              <w:rPr>
                <w:rFonts w:ascii="Calibri" w:hAnsi="Calibri" w:cs="Calibri"/>
                <w:sz w:val="22"/>
                <w:szCs w:val="22"/>
              </w:rPr>
              <w:t>Integrovaná, integrovaný mikrofon a integrované reproduktory</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DB29A53"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7D761D4"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61C296C" w14:textId="77777777" w:rsidTr="00B5689E">
        <w:trPr>
          <w:trHeight w:val="15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686102B" w14:textId="77777777" w:rsidR="00AD1CEA" w:rsidRDefault="00AD1CEA">
            <w:pPr>
              <w:rPr>
                <w:rFonts w:ascii="Calibri" w:hAnsi="Calibri" w:cs="Calibri"/>
                <w:sz w:val="22"/>
                <w:szCs w:val="22"/>
              </w:rPr>
            </w:pPr>
            <w:r>
              <w:rPr>
                <w:rFonts w:ascii="Calibri" w:hAnsi="Calibri" w:cs="Calibri"/>
                <w:sz w:val="22"/>
                <w:szCs w:val="22"/>
              </w:rPr>
              <w:t>Typ a počet rozhraní:</w:t>
            </w:r>
          </w:p>
        </w:tc>
        <w:tc>
          <w:tcPr>
            <w:tcW w:w="3907" w:type="dxa"/>
            <w:tcBorders>
              <w:top w:val="nil"/>
              <w:left w:val="nil"/>
              <w:bottom w:val="single" w:sz="4" w:space="0" w:color="auto"/>
              <w:right w:val="nil"/>
            </w:tcBorders>
            <w:shd w:val="clear" w:color="auto" w:fill="auto"/>
            <w:vAlign w:val="center"/>
            <w:hideMark/>
          </w:tcPr>
          <w:p w14:paraId="3026EDD5" w14:textId="77777777" w:rsidR="00AD1CEA" w:rsidRDefault="00AD1CEA">
            <w:pPr>
              <w:rPr>
                <w:rFonts w:ascii="Calibri" w:hAnsi="Calibri" w:cs="Calibri"/>
                <w:sz w:val="22"/>
                <w:szCs w:val="22"/>
              </w:rPr>
            </w:pPr>
            <w:r>
              <w:rPr>
                <w:rFonts w:ascii="Calibri" w:hAnsi="Calibri" w:cs="Calibri"/>
                <w:sz w:val="22"/>
                <w:szCs w:val="22"/>
              </w:rPr>
              <w:t>Min. 4x USB konektory (z toho min. 2x USB-A s přenosovou rychlostí min. 5 Gb/s a min. 2x USB-C/TBT4 z toho alespoň dva z nich s přenosovou rychlostí min. 40 Gb/s, podporou PD, USB to Ethernet DP-alt mode)</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07EBE4C"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7957531B" w14:textId="77777777" w:rsidR="00AD1CEA" w:rsidRDefault="00AD1CEA">
            <w:pPr>
              <w:rPr>
                <w:rFonts w:ascii="Calibri" w:hAnsi="Calibri" w:cs="Calibri"/>
                <w:sz w:val="22"/>
                <w:szCs w:val="22"/>
              </w:rPr>
            </w:pPr>
            <w:r>
              <w:rPr>
                <w:rFonts w:ascii="Calibri" w:hAnsi="Calibri" w:cs="Calibri"/>
                <w:sz w:val="22"/>
                <w:szCs w:val="22"/>
              </w:rPr>
              <w:t>4x USB konektory (2x USB-A 3.2 1.Gen  a 2x USB-C/TBT4 s podporou PD a DP alt mode)</w:t>
            </w:r>
          </w:p>
        </w:tc>
      </w:tr>
      <w:tr w:rsidR="00AD1CEA" w14:paraId="1D76C621"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6DDC64"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0EACBF19" w14:textId="77777777" w:rsidR="00AD1CEA" w:rsidRDefault="00AD1CEA">
            <w:pPr>
              <w:rPr>
                <w:rFonts w:ascii="Calibri" w:hAnsi="Calibri" w:cs="Calibri"/>
                <w:sz w:val="22"/>
                <w:szCs w:val="22"/>
              </w:rPr>
            </w:pPr>
            <w:r>
              <w:rPr>
                <w:rFonts w:ascii="Calibri" w:hAnsi="Calibri" w:cs="Calibri"/>
                <w:sz w:val="22"/>
                <w:szCs w:val="22"/>
              </w:rPr>
              <w:t>Min. 1x digitální konektor HDMI nebo DP, podpora min. 4K@60Hz</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42BE29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72A0CA1E" w14:textId="77777777" w:rsidR="00AD1CEA" w:rsidRDefault="00AD1CEA">
            <w:pPr>
              <w:rPr>
                <w:rFonts w:ascii="Calibri" w:hAnsi="Calibri" w:cs="Calibri"/>
                <w:sz w:val="22"/>
                <w:szCs w:val="22"/>
              </w:rPr>
            </w:pPr>
            <w:r>
              <w:rPr>
                <w:rFonts w:ascii="Calibri" w:hAnsi="Calibri" w:cs="Calibri"/>
                <w:sz w:val="22"/>
                <w:szCs w:val="22"/>
              </w:rPr>
              <w:t>1x digitální konektor HDMI, podpora 4K@60Hz</w:t>
            </w:r>
          </w:p>
        </w:tc>
      </w:tr>
      <w:tr w:rsidR="00AD1CEA" w14:paraId="1EC506E9" w14:textId="77777777" w:rsidTr="00B5689E">
        <w:trPr>
          <w:trHeight w:val="24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09BA2BF"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1DBF7386" w14:textId="77777777" w:rsidR="00AD1CEA" w:rsidRDefault="00AD1CEA">
            <w:pPr>
              <w:rPr>
                <w:rFonts w:ascii="Calibri" w:hAnsi="Calibri" w:cs="Calibri"/>
                <w:sz w:val="22"/>
                <w:szCs w:val="22"/>
              </w:rPr>
            </w:pPr>
            <w:r>
              <w:rPr>
                <w:rFonts w:ascii="Calibri" w:hAnsi="Calibri" w:cs="Calibri"/>
                <w:sz w:val="22"/>
                <w:szCs w:val="22"/>
              </w:rPr>
              <w:t>integrovaná síťová karta 100/1000 Mbps, podpora WOL, podpora 802.1.X, min. 1x RJ 45 - lze řešit jiným portem (počítá se do splnění minimálního počtu u jiných požadavků). V případě řešení jiným portem je požadována podpora PXE včetně předání MAC adresy notebooku (MAC Address Pass-Through / Host Based Mac Address) pro jednoznacnou identifikaci notebooku v prostředí hromadné správy</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54BF9227"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5456BE07" w14:textId="77777777" w:rsidR="00AD1CEA" w:rsidRDefault="00AD1CEA">
            <w:pPr>
              <w:rPr>
                <w:rFonts w:ascii="Calibri" w:hAnsi="Calibri" w:cs="Calibri"/>
                <w:sz w:val="22"/>
                <w:szCs w:val="22"/>
              </w:rPr>
            </w:pPr>
            <w:r>
              <w:rPr>
                <w:rFonts w:ascii="Calibri" w:hAnsi="Calibri" w:cs="Calibri"/>
                <w:sz w:val="22"/>
                <w:szCs w:val="22"/>
              </w:rPr>
              <w:t>integrovaná síťová karta s konektorem 1x RJ 45, která odpovídá zadání</w:t>
            </w:r>
          </w:p>
        </w:tc>
      </w:tr>
      <w:tr w:rsidR="00AD1CEA" w14:paraId="2147489D"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A6CF7F"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572ED1E" w14:textId="77777777" w:rsidR="00AD1CEA" w:rsidRDefault="00AD1CEA">
            <w:pPr>
              <w:rPr>
                <w:rFonts w:ascii="Calibri" w:hAnsi="Calibri" w:cs="Calibri"/>
                <w:sz w:val="22"/>
                <w:szCs w:val="22"/>
              </w:rPr>
            </w:pPr>
            <w:r>
              <w:rPr>
                <w:rFonts w:ascii="Calibri" w:hAnsi="Calibri" w:cs="Calibri"/>
                <w:sz w:val="22"/>
                <w:szCs w:val="22"/>
              </w:rPr>
              <w:t>1x Bluetooth min. 5.0 LE, interní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4FF514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11DE8955"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4FA5936"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B9747E"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53B6EE39" w14:textId="77777777" w:rsidR="00AD1CEA" w:rsidRDefault="00AD1CEA">
            <w:pPr>
              <w:rPr>
                <w:rFonts w:ascii="Calibri" w:hAnsi="Calibri" w:cs="Calibri"/>
                <w:sz w:val="22"/>
                <w:szCs w:val="22"/>
              </w:rPr>
            </w:pPr>
            <w:r>
              <w:rPr>
                <w:rFonts w:ascii="Calibri" w:hAnsi="Calibri" w:cs="Calibri"/>
                <w:sz w:val="22"/>
                <w:szCs w:val="22"/>
              </w:rPr>
              <w:t>1x Wi-Fi 802.11 a/b/g/n/ac/ax, podpora WiFi 6E, interní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BDDE27D"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A46B0D2"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6B2C01C"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3D15E8"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97E1BFB" w14:textId="77777777" w:rsidR="00AD1CEA" w:rsidRDefault="00AD1CEA">
            <w:pPr>
              <w:rPr>
                <w:rFonts w:ascii="Calibri" w:hAnsi="Calibri" w:cs="Calibri"/>
                <w:sz w:val="22"/>
                <w:szCs w:val="22"/>
              </w:rPr>
            </w:pPr>
            <w:r>
              <w:rPr>
                <w:rFonts w:ascii="Calibri" w:hAnsi="Calibri" w:cs="Calibri"/>
                <w:sz w:val="22"/>
                <w:szCs w:val="22"/>
              </w:rPr>
              <w:t>1x modem 4G LTE podporující frekvence využívané pro LTE v ČR, interní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6043696"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4AAF007E"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FBB180A"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80BFF4"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000000" w:fill="FFFFFF"/>
            <w:vAlign w:val="center"/>
            <w:hideMark/>
          </w:tcPr>
          <w:p w14:paraId="20509596" w14:textId="77777777" w:rsidR="00AD1CEA" w:rsidRDefault="00AD1CEA">
            <w:pPr>
              <w:rPr>
                <w:rFonts w:ascii="Calibri" w:hAnsi="Calibri" w:cs="Calibri"/>
                <w:sz w:val="22"/>
                <w:szCs w:val="22"/>
              </w:rPr>
            </w:pPr>
            <w:r>
              <w:rPr>
                <w:rFonts w:ascii="Calibri" w:hAnsi="Calibri" w:cs="Calibri"/>
                <w:sz w:val="22"/>
                <w:szCs w:val="22"/>
              </w:rPr>
              <w:t>1x interní čtečka čipových karet, kompatibilní s ISO IEC 7810 ID-1 a ISO IEC 7816 (standardy pro čipové karty)</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E8759D6"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398E3604"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E3150C2"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795F047"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7E2FB9EB" w14:textId="77777777" w:rsidR="00AD1CEA" w:rsidRDefault="00AD1CEA">
            <w:pPr>
              <w:rPr>
                <w:rFonts w:ascii="Calibri" w:hAnsi="Calibri" w:cs="Calibri"/>
                <w:sz w:val="22"/>
                <w:szCs w:val="22"/>
              </w:rPr>
            </w:pPr>
            <w:r>
              <w:rPr>
                <w:rFonts w:ascii="Calibri" w:hAnsi="Calibri" w:cs="Calibri"/>
                <w:sz w:val="22"/>
                <w:szCs w:val="22"/>
              </w:rPr>
              <w:t>1x kombinovaný konektor audio (mikrofon/sluchátka), nebo 1x vstup pro mikrofon + 1x stereo výstup pro sluchátka</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07FC5C5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76E5149" w14:textId="77777777" w:rsidR="00AD1CEA" w:rsidRDefault="00AD1CEA">
            <w:pPr>
              <w:rPr>
                <w:rFonts w:ascii="Calibri" w:hAnsi="Calibri" w:cs="Calibri"/>
                <w:sz w:val="22"/>
                <w:szCs w:val="22"/>
              </w:rPr>
            </w:pPr>
            <w:r>
              <w:rPr>
                <w:rFonts w:ascii="Calibri" w:hAnsi="Calibri" w:cs="Calibri"/>
                <w:sz w:val="22"/>
                <w:szCs w:val="22"/>
              </w:rPr>
              <w:t> </w:t>
            </w:r>
          </w:p>
        </w:tc>
      </w:tr>
      <w:tr w:rsidR="00B5689E" w14:paraId="1EC80D33" w14:textId="77777777" w:rsidTr="00331A37">
        <w:trPr>
          <w:trHeight w:val="24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40A67"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14:paraId="413FE8C9" w14:textId="77777777" w:rsidR="00AD1CEA" w:rsidRDefault="00AD1CEA">
            <w:pPr>
              <w:rPr>
                <w:rFonts w:ascii="Calibri" w:hAnsi="Calibri" w:cs="Calibri"/>
                <w:sz w:val="22"/>
                <w:szCs w:val="22"/>
              </w:rPr>
            </w:pPr>
            <w:r>
              <w:rPr>
                <w:rFonts w:ascii="Calibri" w:hAnsi="Calibri" w:cs="Calibri"/>
                <w:sz w:val="22"/>
                <w:szCs w:val="22"/>
              </w:rPr>
              <w:t xml:space="preserve">1x dokovací konektor (kompatibilní s dodanou dokovací stanicí) - </w:t>
            </w:r>
            <w:r>
              <w:rPr>
                <w:rFonts w:ascii="Calibri" w:hAnsi="Calibri" w:cs="Calibri"/>
                <w:b/>
                <w:bCs/>
                <w:sz w:val="22"/>
                <w:szCs w:val="22"/>
              </w:rPr>
              <w:t>počítá se do splnění minimálního počtu u jiných portů notebooku, pokud je současně nahrazovaný konektor na dokovací stanici (např. při obsazení požadovaného TBT4/USB-C zůstane na dokovací stanici neobsazený port s rychlostí min. 40 Gb/s)</w:t>
            </w:r>
            <w:r>
              <w:rPr>
                <w:rFonts w:ascii="Calibri" w:hAnsi="Calibri" w:cs="Calibri"/>
                <w:sz w:val="22"/>
                <w:szCs w:val="22"/>
              </w:rPr>
              <w:t>. Dokovací konektor musí umožňovat požadované min. kvality přenosu na dokovací stanici.</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BD238E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ADE574D"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7FC337E" w14:textId="77777777" w:rsidTr="00331A37">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F2A67" w14:textId="77777777" w:rsidR="00AD1CEA" w:rsidRDefault="00AD1CEA">
            <w:pPr>
              <w:rPr>
                <w:rFonts w:ascii="Calibri" w:hAnsi="Calibri" w:cs="Calibri"/>
                <w:sz w:val="22"/>
                <w:szCs w:val="22"/>
              </w:rPr>
            </w:pPr>
            <w:r>
              <w:rPr>
                <w:rFonts w:ascii="Calibri" w:hAnsi="Calibri" w:cs="Calibri"/>
                <w:sz w:val="22"/>
                <w:szCs w:val="22"/>
              </w:rPr>
              <w:lastRenderedPageBreak/>
              <w:t>Vstupní zařízení:</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A9933" w14:textId="77777777" w:rsidR="00AD1CEA" w:rsidRDefault="00AD1CEA">
            <w:pPr>
              <w:rPr>
                <w:rFonts w:ascii="Calibri" w:hAnsi="Calibri" w:cs="Calibri"/>
                <w:sz w:val="22"/>
                <w:szCs w:val="22"/>
              </w:rPr>
            </w:pPr>
            <w:r>
              <w:rPr>
                <w:rFonts w:ascii="Calibri" w:hAnsi="Calibri" w:cs="Calibri"/>
                <w:sz w:val="22"/>
                <w:szCs w:val="22"/>
              </w:rPr>
              <w:t>Integrovaná klávesnice - znaková sada CZ/US, podsvícená nebo osvětlená, voděodolná</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DD3DCA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73C56D3A"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A89D3D4"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50587E"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25FAD05" w14:textId="77777777" w:rsidR="00AD1CEA" w:rsidRDefault="00AD1CEA">
            <w:pPr>
              <w:rPr>
                <w:rFonts w:ascii="Calibri" w:hAnsi="Calibri" w:cs="Calibri"/>
                <w:sz w:val="22"/>
                <w:szCs w:val="22"/>
              </w:rPr>
            </w:pPr>
            <w:r>
              <w:rPr>
                <w:rFonts w:ascii="Calibri" w:hAnsi="Calibri" w:cs="Calibri"/>
                <w:sz w:val="22"/>
                <w:szCs w:val="22"/>
              </w:rPr>
              <w:t>Integrované (TouchPad)</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B7D6B16"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58215C4"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06D33F4"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901466"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066B8997" w14:textId="77777777" w:rsidR="00AD1CEA" w:rsidRDefault="00AD1CEA">
            <w:pPr>
              <w:rPr>
                <w:rFonts w:ascii="Calibri" w:hAnsi="Calibri" w:cs="Calibri"/>
                <w:sz w:val="22"/>
                <w:szCs w:val="22"/>
              </w:rPr>
            </w:pPr>
            <w:r>
              <w:rPr>
                <w:rFonts w:ascii="Calibri" w:hAnsi="Calibri" w:cs="Calibri"/>
                <w:sz w:val="22"/>
                <w:szCs w:val="22"/>
              </w:rPr>
              <w:t>Integrovaná webkamera s min. rozlišením Full HD IR</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68A14FC"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5A53EB0D"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7084ED7"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6EF680" w14:textId="77777777" w:rsidR="00AD1CEA" w:rsidRDefault="00AD1CEA">
            <w:pPr>
              <w:rPr>
                <w:rFonts w:ascii="Calibri" w:hAnsi="Calibri" w:cs="Calibri"/>
                <w:sz w:val="22"/>
                <w:szCs w:val="22"/>
              </w:rPr>
            </w:pPr>
            <w:r>
              <w:rPr>
                <w:rFonts w:ascii="Calibri" w:hAnsi="Calibri" w:cs="Calibri"/>
                <w:sz w:val="22"/>
                <w:szCs w:val="22"/>
              </w:rPr>
              <w:t>Baterie:</w:t>
            </w:r>
          </w:p>
        </w:tc>
        <w:tc>
          <w:tcPr>
            <w:tcW w:w="3907" w:type="dxa"/>
            <w:tcBorders>
              <w:top w:val="nil"/>
              <w:left w:val="nil"/>
              <w:bottom w:val="single" w:sz="4" w:space="0" w:color="auto"/>
              <w:right w:val="nil"/>
            </w:tcBorders>
            <w:shd w:val="clear" w:color="auto" w:fill="auto"/>
            <w:vAlign w:val="center"/>
            <w:hideMark/>
          </w:tcPr>
          <w:p w14:paraId="33F364B1" w14:textId="77777777" w:rsidR="00AD1CEA" w:rsidRDefault="00AD1CEA">
            <w:pPr>
              <w:rPr>
                <w:rFonts w:ascii="Calibri" w:hAnsi="Calibri" w:cs="Calibri"/>
                <w:sz w:val="22"/>
                <w:szCs w:val="22"/>
              </w:rPr>
            </w:pPr>
            <w:r>
              <w:rPr>
                <w:rFonts w:ascii="Calibri" w:hAnsi="Calibri" w:cs="Calibri"/>
                <w:sz w:val="22"/>
                <w:szCs w:val="22"/>
              </w:rPr>
              <w:t>Deklarovaná doba provozu notebooku min. 6 hodin při běžné práci a kapacita baterie min. 50 Wh</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B6AAC20"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665A0896" w14:textId="77777777" w:rsidR="00AD1CEA" w:rsidRDefault="00AD1CEA">
            <w:pPr>
              <w:rPr>
                <w:rFonts w:ascii="Calibri" w:hAnsi="Calibri" w:cs="Calibri"/>
                <w:sz w:val="22"/>
                <w:szCs w:val="22"/>
              </w:rPr>
            </w:pPr>
            <w:r>
              <w:rPr>
                <w:rFonts w:ascii="Calibri" w:hAnsi="Calibri" w:cs="Calibri"/>
                <w:sz w:val="22"/>
                <w:szCs w:val="22"/>
              </w:rPr>
              <w:t>Doba provozu notebooku více než 6 hodin při běžné práci, nabízena kapacita baterie 54 Wh</w:t>
            </w:r>
          </w:p>
        </w:tc>
      </w:tr>
      <w:tr w:rsidR="00AD1CEA" w14:paraId="7DBAC9BC"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C55A9C" w14:textId="77777777" w:rsidR="00AD1CEA" w:rsidRDefault="00AD1CEA">
            <w:pPr>
              <w:rPr>
                <w:rFonts w:ascii="Calibri" w:hAnsi="Calibri" w:cs="Calibri"/>
                <w:sz w:val="22"/>
                <w:szCs w:val="22"/>
              </w:rPr>
            </w:pPr>
            <w:r>
              <w:rPr>
                <w:rFonts w:ascii="Calibri" w:hAnsi="Calibri" w:cs="Calibri"/>
                <w:sz w:val="22"/>
                <w:szCs w:val="22"/>
              </w:rPr>
              <w:t>Operační systém:</w:t>
            </w:r>
          </w:p>
        </w:tc>
        <w:tc>
          <w:tcPr>
            <w:tcW w:w="3907" w:type="dxa"/>
            <w:tcBorders>
              <w:top w:val="nil"/>
              <w:left w:val="nil"/>
              <w:bottom w:val="single" w:sz="4" w:space="0" w:color="auto"/>
              <w:right w:val="nil"/>
            </w:tcBorders>
            <w:shd w:val="clear" w:color="auto" w:fill="auto"/>
            <w:vAlign w:val="center"/>
            <w:hideMark/>
          </w:tcPr>
          <w:p w14:paraId="2231D79C" w14:textId="77777777" w:rsidR="00AD1CEA" w:rsidRDefault="00AD1CEA">
            <w:pPr>
              <w:rPr>
                <w:rFonts w:ascii="Calibri" w:hAnsi="Calibri" w:cs="Calibri"/>
                <w:sz w:val="22"/>
                <w:szCs w:val="22"/>
              </w:rPr>
            </w:pPr>
            <w:r>
              <w:rPr>
                <w:rFonts w:ascii="Calibri" w:hAnsi="Calibri" w:cs="Calibri"/>
                <w:sz w:val="22"/>
                <w:szCs w:val="22"/>
              </w:rPr>
              <w:t>Licence Windows 11 Professional CZ OEM (64-bit)</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D293357"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0A38F3C"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32337BC"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1DA2271"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8680751" w14:textId="77777777" w:rsidR="00AD1CEA" w:rsidRDefault="00AD1CEA">
            <w:pPr>
              <w:rPr>
                <w:rFonts w:ascii="Calibri" w:hAnsi="Calibri" w:cs="Calibri"/>
                <w:sz w:val="22"/>
                <w:szCs w:val="22"/>
              </w:rPr>
            </w:pPr>
            <w:r>
              <w:rPr>
                <w:rFonts w:ascii="Calibri" w:hAnsi="Calibri" w:cs="Calibri"/>
                <w:sz w:val="22"/>
                <w:szCs w:val="22"/>
              </w:rPr>
              <w:t>Hardwarová podpora pro Windows 11 (64-bit), OS předinstalován na dodávaném zařízení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39ED8618"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83E2520"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6952FA3"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91DEB7B" w14:textId="77777777" w:rsidR="00AD1CEA" w:rsidRDefault="00AD1CEA">
            <w:pPr>
              <w:rPr>
                <w:rFonts w:ascii="Calibri" w:hAnsi="Calibri" w:cs="Calibri"/>
                <w:sz w:val="22"/>
                <w:szCs w:val="22"/>
              </w:rPr>
            </w:pPr>
            <w:r>
              <w:rPr>
                <w:rFonts w:ascii="Calibri" w:hAnsi="Calibri" w:cs="Calibri"/>
                <w:sz w:val="22"/>
                <w:szCs w:val="22"/>
              </w:rPr>
              <w:t>Zabezpečení:</w:t>
            </w:r>
          </w:p>
        </w:tc>
        <w:tc>
          <w:tcPr>
            <w:tcW w:w="3907" w:type="dxa"/>
            <w:tcBorders>
              <w:top w:val="nil"/>
              <w:left w:val="nil"/>
              <w:bottom w:val="single" w:sz="4" w:space="0" w:color="auto"/>
              <w:right w:val="nil"/>
            </w:tcBorders>
            <w:shd w:val="clear" w:color="auto" w:fill="auto"/>
            <w:vAlign w:val="center"/>
            <w:hideMark/>
          </w:tcPr>
          <w:p w14:paraId="3BDFB2C3" w14:textId="77777777" w:rsidR="00AD1CEA" w:rsidRDefault="00AD1CEA">
            <w:pPr>
              <w:rPr>
                <w:rFonts w:ascii="Calibri" w:hAnsi="Calibri" w:cs="Calibri"/>
                <w:sz w:val="22"/>
                <w:szCs w:val="22"/>
              </w:rPr>
            </w:pPr>
            <w:r>
              <w:rPr>
                <w:rFonts w:ascii="Calibri" w:hAnsi="Calibri" w:cs="Calibri"/>
                <w:sz w:val="22"/>
                <w:szCs w:val="22"/>
              </w:rPr>
              <w:t>Zabezpečení Technologie TPM 2.0 chip, příprava pro mechanické zabezpečení lankem se zámkem či případné jiné obdobné řešení.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0FD9BDF5"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F590EB0"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910D560"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4512E73"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596FA806" w14:textId="77777777" w:rsidR="00AD1CEA" w:rsidRDefault="00AD1CEA">
            <w:pPr>
              <w:rPr>
                <w:rFonts w:ascii="Calibri" w:hAnsi="Calibri" w:cs="Calibri"/>
                <w:sz w:val="22"/>
                <w:szCs w:val="22"/>
              </w:rPr>
            </w:pPr>
            <w:r>
              <w:rPr>
                <w:rFonts w:ascii="Calibri" w:hAnsi="Calibri" w:cs="Calibri"/>
                <w:sz w:val="22"/>
                <w:szCs w:val="22"/>
              </w:rPr>
              <w:t>Zabezpečení pomocí funkce rozpoznávání obličeje</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B8DDB80"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C2A97DC"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F5A7823"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D6807D"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710C3996" w14:textId="77777777" w:rsidR="00AD1CEA" w:rsidRDefault="00AD1CEA">
            <w:pPr>
              <w:rPr>
                <w:rFonts w:ascii="Calibri" w:hAnsi="Calibri" w:cs="Calibri"/>
                <w:sz w:val="22"/>
                <w:szCs w:val="22"/>
              </w:rPr>
            </w:pPr>
            <w:r>
              <w:rPr>
                <w:rFonts w:ascii="Calibri" w:hAnsi="Calibri" w:cs="Calibri"/>
                <w:sz w:val="22"/>
                <w:szCs w:val="22"/>
              </w:rPr>
              <w:t>Integrovaná čtečka otisku prstů</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7D0A2B32"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A28192D"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74C80AF"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CBFB7AD" w14:textId="77777777" w:rsidR="00AD1CEA" w:rsidRDefault="00AD1CEA">
            <w:pPr>
              <w:rPr>
                <w:rFonts w:ascii="Calibri" w:hAnsi="Calibri" w:cs="Calibri"/>
                <w:sz w:val="22"/>
                <w:szCs w:val="22"/>
              </w:rPr>
            </w:pPr>
            <w:r>
              <w:rPr>
                <w:rFonts w:ascii="Calibri" w:hAnsi="Calibri" w:cs="Calibri"/>
                <w:sz w:val="22"/>
                <w:szCs w:val="22"/>
              </w:rPr>
              <w:t>Ostatní:</w:t>
            </w:r>
          </w:p>
        </w:tc>
        <w:tc>
          <w:tcPr>
            <w:tcW w:w="3907" w:type="dxa"/>
            <w:tcBorders>
              <w:top w:val="nil"/>
              <w:left w:val="nil"/>
              <w:bottom w:val="single" w:sz="4" w:space="0" w:color="auto"/>
              <w:right w:val="nil"/>
            </w:tcBorders>
            <w:shd w:val="clear" w:color="auto" w:fill="auto"/>
            <w:vAlign w:val="center"/>
            <w:hideMark/>
          </w:tcPr>
          <w:p w14:paraId="31F61CF9" w14:textId="77777777" w:rsidR="00AD1CEA" w:rsidRDefault="00AD1CEA">
            <w:pPr>
              <w:rPr>
                <w:rFonts w:ascii="Calibri" w:hAnsi="Calibri" w:cs="Calibri"/>
                <w:sz w:val="22"/>
                <w:szCs w:val="22"/>
              </w:rPr>
            </w:pPr>
            <w:r>
              <w:rPr>
                <w:rFonts w:ascii="Calibri" w:hAnsi="Calibri" w:cs="Calibri"/>
                <w:sz w:val="22"/>
                <w:szCs w:val="22"/>
              </w:rPr>
              <w:t>Certifikace EPEAT min. Gold u produktové řady notebooku, EnergyStar min. 6.1</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9C24DF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3E3661A3"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5B6BB54"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CF18493"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3877F4C9" w14:textId="77777777" w:rsidR="00AD1CEA" w:rsidRDefault="00AD1CEA">
            <w:pPr>
              <w:rPr>
                <w:rFonts w:ascii="Calibri" w:hAnsi="Calibri" w:cs="Calibri"/>
                <w:sz w:val="22"/>
                <w:szCs w:val="22"/>
              </w:rPr>
            </w:pPr>
            <w:r>
              <w:rPr>
                <w:rFonts w:ascii="Calibri" w:hAnsi="Calibri" w:cs="Calibri"/>
                <w:sz w:val="22"/>
                <w:szCs w:val="22"/>
              </w:rPr>
              <w:t>Síťový adaptér a napájecí kabel odpovídající příkonu notebooku</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CF6A6BF"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4D67E486"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1BB0902"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3D4667" w14:textId="77777777" w:rsidR="00AD1CEA" w:rsidRDefault="00AD1CEA">
            <w:pPr>
              <w:rPr>
                <w:rFonts w:ascii="Calibri" w:hAnsi="Calibri" w:cs="Calibri"/>
                <w:sz w:val="22"/>
                <w:szCs w:val="22"/>
              </w:rPr>
            </w:pPr>
            <w:r>
              <w:rPr>
                <w:rFonts w:ascii="Calibri" w:hAnsi="Calibri" w:cs="Calibri"/>
                <w:sz w:val="22"/>
                <w:szCs w:val="22"/>
              </w:rPr>
              <w:t>Záruční podmínky:</w:t>
            </w:r>
          </w:p>
        </w:tc>
        <w:tc>
          <w:tcPr>
            <w:tcW w:w="3907" w:type="dxa"/>
            <w:tcBorders>
              <w:top w:val="nil"/>
              <w:left w:val="nil"/>
              <w:bottom w:val="single" w:sz="4" w:space="0" w:color="auto"/>
              <w:right w:val="nil"/>
            </w:tcBorders>
            <w:shd w:val="clear" w:color="auto" w:fill="auto"/>
            <w:vAlign w:val="center"/>
            <w:hideMark/>
          </w:tcPr>
          <w:p w14:paraId="3FC2C2CC" w14:textId="77777777" w:rsidR="00AD1CEA" w:rsidRDefault="00AD1CEA">
            <w:pPr>
              <w:rPr>
                <w:rFonts w:ascii="Calibri" w:hAnsi="Calibri" w:cs="Calibri"/>
                <w:sz w:val="22"/>
                <w:szCs w:val="22"/>
              </w:rPr>
            </w:pPr>
            <w:r>
              <w:rPr>
                <w:rFonts w:ascii="Calibri" w:hAnsi="Calibri" w:cs="Calibri"/>
                <w:sz w:val="22"/>
                <w:szCs w:val="22"/>
              </w:rPr>
              <w:t>Min. 60 měsíců u notebooku a příslušenství (vyjma baterie)</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DB7DCCF"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019EBCBB" w14:textId="77777777" w:rsidR="00AD1CEA" w:rsidRDefault="00AD1CEA">
            <w:pPr>
              <w:rPr>
                <w:rFonts w:ascii="Calibri" w:hAnsi="Calibri" w:cs="Calibri"/>
                <w:sz w:val="22"/>
                <w:szCs w:val="22"/>
              </w:rPr>
            </w:pPr>
            <w:r>
              <w:rPr>
                <w:rFonts w:ascii="Calibri" w:hAnsi="Calibri" w:cs="Calibri"/>
                <w:sz w:val="22"/>
                <w:szCs w:val="22"/>
              </w:rPr>
              <w:t>60 měsíců</w:t>
            </w:r>
          </w:p>
        </w:tc>
      </w:tr>
      <w:tr w:rsidR="00AD1CEA" w14:paraId="719F8DBE"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F55589C"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48353788" w14:textId="77777777" w:rsidR="00AD1CEA" w:rsidRDefault="00AD1CEA">
            <w:pPr>
              <w:rPr>
                <w:rFonts w:ascii="Calibri" w:hAnsi="Calibri" w:cs="Calibri"/>
                <w:sz w:val="22"/>
                <w:szCs w:val="22"/>
              </w:rPr>
            </w:pPr>
            <w:r>
              <w:rPr>
                <w:rFonts w:ascii="Calibri" w:hAnsi="Calibri" w:cs="Calibri"/>
                <w:sz w:val="22"/>
                <w:szCs w:val="22"/>
              </w:rPr>
              <w:t>Min. 36 měsíců na baterii notebooku</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3CA0349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690EA367" w14:textId="77777777" w:rsidR="00AD1CEA" w:rsidRDefault="00AD1CEA">
            <w:pPr>
              <w:rPr>
                <w:rFonts w:ascii="Calibri" w:hAnsi="Calibri" w:cs="Calibri"/>
                <w:sz w:val="22"/>
                <w:szCs w:val="22"/>
              </w:rPr>
            </w:pPr>
            <w:r>
              <w:rPr>
                <w:rFonts w:ascii="Calibri" w:hAnsi="Calibri" w:cs="Calibri"/>
                <w:sz w:val="22"/>
                <w:szCs w:val="22"/>
              </w:rPr>
              <w:t>36 měsíců</w:t>
            </w:r>
          </w:p>
        </w:tc>
      </w:tr>
      <w:tr w:rsidR="00AD1CEA" w14:paraId="0D91D5AD" w14:textId="77777777" w:rsidTr="00B5689E">
        <w:trPr>
          <w:trHeight w:val="12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0D9E5F" w14:textId="77777777" w:rsidR="00AD1CEA" w:rsidRDefault="00AD1CEA">
            <w:pPr>
              <w:rPr>
                <w:rFonts w:ascii="Calibri" w:hAnsi="Calibri" w:cs="Calibri"/>
                <w:sz w:val="22"/>
                <w:szCs w:val="22"/>
              </w:rPr>
            </w:pPr>
            <w:r>
              <w:rPr>
                <w:rFonts w:ascii="Calibri" w:hAnsi="Calibri" w:cs="Calibri"/>
                <w:sz w:val="22"/>
                <w:szCs w:val="22"/>
              </w:rPr>
              <w:t>Servis:</w:t>
            </w:r>
          </w:p>
        </w:tc>
        <w:tc>
          <w:tcPr>
            <w:tcW w:w="3907" w:type="dxa"/>
            <w:tcBorders>
              <w:top w:val="nil"/>
              <w:left w:val="nil"/>
              <w:bottom w:val="single" w:sz="4" w:space="0" w:color="auto"/>
              <w:right w:val="nil"/>
            </w:tcBorders>
            <w:shd w:val="clear" w:color="auto" w:fill="auto"/>
            <w:vAlign w:val="center"/>
            <w:hideMark/>
          </w:tcPr>
          <w:p w14:paraId="52816F2A" w14:textId="77777777" w:rsidR="00AD1CEA" w:rsidRDefault="00AD1CEA">
            <w:pPr>
              <w:rPr>
                <w:rFonts w:ascii="Calibri" w:hAnsi="Calibri" w:cs="Calibri"/>
                <w:sz w:val="22"/>
                <w:szCs w:val="22"/>
              </w:rPr>
            </w:pPr>
            <w:r>
              <w:rPr>
                <w:rFonts w:ascii="Calibri" w:hAnsi="Calibri" w:cs="Calibri"/>
                <w:sz w:val="22"/>
                <w:szCs w:val="22"/>
              </w:rPr>
              <w:t>V místě instalace zařízení u zákazníka s ukončením opravy následující pracovní den od jejího nahlášení. Servis prováděný výrobcem či jím autorizovaným subjektem</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4A92712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F0AD4C7"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3D4CC7A"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BEF93C"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6F6C2CCA" w14:textId="77777777" w:rsidR="00AD1CEA" w:rsidRDefault="00AD1CEA">
            <w:pPr>
              <w:rPr>
                <w:rFonts w:ascii="Calibri" w:hAnsi="Calibri" w:cs="Calibri"/>
                <w:sz w:val="22"/>
                <w:szCs w:val="22"/>
              </w:rPr>
            </w:pPr>
            <w:r>
              <w:rPr>
                <w:rFonts w:ascii="Calibri" w:hAnsi="Calibri" w:cs="Calibri"/>
                <w:sz w:val="22"/>
                <w:szCs w:val="22"/>
              </w:rPr>
              <w:t>Jediné kontaktní místo pro nahlášení poruch pro celou ČR</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3FF31D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10284467"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FA30F4A"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5B552D7"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5837D8F2" w14:textId="77777777" w:rsidR="00AD1CEA" w:rsidRDefault="00AD1CEA">
            <w:pPr>
              <w:rPr>
                <w:rFonts w:ascii="Calibri" w:hAnsi="Calibri" w:cs="Calibri"/>
                <w:sz w:val="22"/>
                <w:szCs w:val="22"/>
              </w:rPr>
            </w:pPr>
            <w:r>
              <w:rPr>
                <w:rFonts w:ascii="Calibri" w:hAnsi="Calibri" w:cs="Calibri"/>
                <w:sz w:val="22"/>
                <w:szCs w:val="22"/>
              </w:rPr>
              <w:t>Podpora poskytovaná prostřednictvím telefonní linky musí být dostupná v pracovní dny min. v době od 9:00 do 16:00 hod.</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718AA9C2"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F9F5C41"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0657A22" w14:textId="77777777" w:rsidTr="00B5689E">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E7674"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3218D" w14:textId="77777777" w:rsidR="00AD1CEA" w:rsidRDefault="00AD1CEA">
            <w:pPr>
              <w:rPr>
                <w:rFonts w:ascii="Calibri" w:hAnsi="Calibri" w:cs="Calibri"/>
                <w:sz w:val="22"/>
                <w:szCs w:val="22"/>
              </w:rPr>
            </w:pPr>
            <w:r>
              <w:rPr>
                <w:rFonts w:ascii="Calibri" w:hAnsi="Calibri" w:cs="Calibri"/>
                <w:sz w:val="22"/>
                <w:szCs w:val="22"/>
              </w:rPr>
              <w:t>Podpora prostřednictvím internetu musí umožňovat stahování ovladačů a manuálů z internetu</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F0AD6C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5DDF08E7"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20012AD" w14:textId="77777777" w:rsidTr="00B5689E">
        <w:trPr>
          <w:trHeight w:val="6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B39A0"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E8FB6" w14:textId="77777777" w:rsidR="00AD1CEA" w:rsidRDefault="00AD1CEA">
            <w:pPr>
              <w:rPr>
                <w:rFonts w:ascii="Calibri" w:hAnsi="Calibri" w:cs="Calibri"/>
                <w:sz w:val="22"/>
                <w:szCs w:val="22"/>
              </w:rPr>
            </w:pPr>
            <w:r>
              <w:rPr>
                <w:rFonts w:ascii="Calibri" w:hAnsi="Calibri" w:cs="Calibri"/>
                <w:sz w:val="22"/>
                <w:szCs w:val="22"/>
              </w:rPr>
              <w:t xml:space="preserve">Při výměně HDD či celého zařízení zůstává původní HDD majetkem kupujícího (neodváží se)                                                                                                                                                                                  </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8CBF1C4"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3306ABF8"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FE71991" w14:textId="77777777" w:rsidTr="00B5689E">
        <w:trPr>
          <w:trHeight w:val="315"/>
        </w:trPr>
        <w:tc>
          <w:tcPr>
            <w:tcW w:w="0" w:type="auto"/>
            <w:tcBorders>
              <w:top w:val="single" w:sz="4" w:space="0" w:color="auto"/>
              <w:left w:val="nil"/>
              <w:bottom w:val="nil"/>
              <w:right w:val="nil"/>
            </w:tcBorders>
            <w:shd w:val="clear" w:color="auto" w:fill="auto"/>
            <w:noWrap/>
            <w:hideMark/>
          </w:tcPr>
          <w:p w14:paraId="77D9388F" w14:textId="77777777" w:rsidR="00AD1CEA" w:rsidRDefault="00AD1CEA">
            <w:pPr>
              <w:rPr>
                <w:rFonts w:ascii="Calibri" w:hAnsi="Calibri" w:cs="Calibri"/>
                <w:sz w:val="22"/>
                <w:szCs w:val="22"/>
              </w:rPr>
            </w:pPr>
          </w:p>
        </w:tc>
        <w:tc>
          <w:tcPr>
            <w:tcW w:w="3907" w:type="dxa"/>
            <w:tcBorders>
              <w:top w:val="single" w:sz="4" w:space="0" w:color="auto"/>
              <w:left w:val="nil"/>
              <w:bottom w:val="nil"/>
              <w:right w:val="nil"/>
            </w:tcBorders>
            <w:shd w:val="clear" w:color="auto" w:fill="auto"/>
            <w:hideMark/>
          </w:tcPr>
          <w:p w14:paraId="2812A618" w14:textId="77777777" w:rsidR="00AD1CEA" w:rsidRDefault="00AD1CEA">
            <w:pPr>
              <w:rPr>
                <w:sz w:val="20"/>
                <w:szCs w:val="20"/>
              </w:rPr>
            </w:pPr>
          </w:p>
          <w:p w14:paraId="762020C8" w14:textId="77777777" w:rsidR="00834D2A" w:rsidRDefault="00834D2A">
            <w:pPr>
              <w:rPr>
                <w:sz w:val="20"/>
                <w:szCs w:val="20"/>
              </w:rPr>
            </w:pPr>
          </w:p>
          <w:p w14:paraId="3133C484" w14:textId="5C5659B7" w:rsidR="00834D2A" w:rsidRDefault="00834D2A">
            <w:pPr>
              <w:rPr>
                <w:sz w:val="20"/>
                <w:szCs w:val="20"/>
              </w:rPr>
            </w:pPr>
          </w:p>
          <w:p w14:paraId="77BCAFD9" w14:textId="77777777" w:rsidR="00834D2A" w:rsidRDefault="00834D2A">
            <w:pPr>
              <w:rPr>
                <w:sz w:val="20"/>
                <w:szCs w:val="20"/>
              </w:rPr>
            </w:pPr>
          </w:p>
          <w:p w14:paraId="635BAB40" w14:textId="49969736" w:rsidR="00834D2A" w:rsidRDefault="00834D2A">
            <w:pPr>
              <w:rPr>
                <w:sz w:val="20"/>
                <w:szCs w:val="20"/>
              </w:rPr>
            </w:pPr>
          </w:p>
        </w:tc>
        <w:tc>
          <w:tcPr>
            <w:tcW w:w="1163" w:type="dxa"/>
            <w:tcBorders>
              <w:top w:val="single" w:sz="4" w:space="0" w:color="auto"/>
              <w:left w:val="nil"/>
              <w:bottom w:val="nil"/>
              <w:right w:val="nil"/>
            </w:tcBorders>
            <w:shd w:val="clear" w:color="auto" w:fill="auto"/>
            <w:hideMark/>
          </w:tcPr>
          <w:p w14:paraId="4EC5A644" w14:textId="77777777" w:rsidR="00AD1CEA" w:rsidRDefault="00AD1CEA">
            <w:pPr>
              <w:rPr>
                <w:sz w:val="20"/>
                <w:szCs w:val="20"/>
              </w:rPr>
            </w:pPr>
          </w:p>
        </w:tc>
        <w:tc>
          <w:tcPr>
            <w:tcW w:w="0" w:type="auto"/>
            <w:tcBorders>
              <w:top w:val="single" w:sz="4" w:space="0" w:color="auto"/>
              <w:left w:val="nil"/>
              <w:bottom w:val="nil"/>
              <w:right w:val="nil"/>
            </w:tcBorders>
            <w:shd w:val="clear" w:color="auto" w:fill="auto"/>
            <w:noWrap/>
            <w:vAlign w:val="bottom"/>
            <w:hideMark/>
          </w:tcPr>
          <w:p w14:paraId="0F886DC0" w14:textId="77777777" w:rsidR="00AD1CEA" w:rsidRDefault="00AD1CEA">
            <w:pPr>
              <w:rPr>
                <w:sz w:val="20"/>
                <w:szCs w:val="20"/>
              </w:rPr>
            </w:pPr>
          </w:p>
        </w:tc>
      </w:tr>
      <w:tr w:rsidR="00AD1CEA" w14:paraId="5CF29A9A" w14:textId="77777777" w:rsidTr="00834D2A">
        <w:trPr>
          <w:trHeight w:val="972"/>
        </w:trPr>
        <w:tc>
          <w:tcPr>
            <w:tcW w:w="5660" w:type="dxa"/>
            <w:gridSpan w:val="2"/>
            <w:tcBorders>
              <w:top w:val="single" w:sz="8" w:space="0" w:color="auto"/>
              <w:left w:val="single" w:sz="8" w:space="0" w:color="auto"/>
              <w:bottom w:val="single" w:sz="4" w:space="0" w:color="auto"/>
              <w:right w:val="single" w:sz="4" w:space="0" w:color="auto"/>
            </w:tcBorders>
            <w:shd w:val="clear" w:color="000000" w:fill="99CCFF"/>
            <w:vAlign w:val="center"/>
            <w:hideMark/>
          </w:tcPr>
          <w:p w14:paraId="5FCCC011" w14:textId="77777777" w:rsidR="00AD1CEA" w:rsidRDefault="00AD1CEA">
            <w:pPr>
              <w:jc w:val="center"/>
              <w:rPr>
                <w:rFonts w:ascii="Calibri" w:hAnsi="Calibri" w:cs="Calibri"/>
                <w:b/>
                <w:bCs/>
                <w:sz w:val="22"/>
                <w:szCs w:val="22"/>
              </w:rPr>
            </w:pPr>
            <w:r>
              <w:rPr>
                <w:rFonts w:ascii="Calibri" w:hAnsi="Calibri" w:cs="Calibri"/>
                <w:b/>
                <w:bCs/>
                <w:sz w:val="22"/>
                <w:szCs w:val="22"/>
              </w:rPr>
              <w:lastRenderedPageBreak/>
              <w:t>Dokovací stanice DSŘ</w:t>
            </w:r>
          </w:p>
        </w:tc>
        <w:tc>
          <w:tcPr>
            <w:tcW w:w="3958" w:type="dxa"/>
            <w:gridSpan w:val="2"/>
            <w:tcBorders>
              <w:top w:val="single" w:sz="8" w:space="0" w:color="auto"/>
              <w:left w:val="single" w:sz="8" w:space="0" w:color="auto"/>
              <w:bottom w:val="single" w:sz="4" w:space="0" w:color="auto"/>
              <w:right w:val="single" w:sz="8" w:space="0" w:color="000000"/>
            </w:tcBorders>
            <w:shd w:val="clear" w:color="000000" w:fill="FFFF00"/>
            <w:vAlign w:val="center"/>
            <w:hideMark/>
          </w:tcPr>
          <w:p w14:paraId="4CF137B3" w14:textId="77777777" w:rsidR="00AD1CEA" w:rsidRDefault="00AD1CEA">
            <w:pPr>
              <w:jc w:val="center"/>
              <w:rPr>
                <w:rFonts w:ascii="Calibri" w:hAnsi="Calibri" w:cs="Calibri"/>
                <w:b/>
                <w:bCs/>
                <w:sz w:val="22"/>
                <w:szCs w:val="22"/>
              </w:rPr>
            </w:pPr>
            <w:r>
              <w:rPr>
                <w:rFonts w:ascii="Calibri" w:hAnsi="Calibri" w:cs="Calibri"/>
                <w:b/>
                <w:bCs/>
                <w:sz w:val="22"/>
                <w:szCs w:val="22"/>
              </w:rPr>
              <w:t>Dell Thunderbolt Dock WD22TB4, 180W (210-BDTD)</w:t>
            </w:r>
          </w:p>
        </w:tc>
      </w:tr>
      <w:tr w:rsidR="00AD1CEA" w14:paraId="05782318" w14:textId="77777777" w:rsidTr="00B5689E">
        <w:trPr>
          <w:trHeight w:val="300"/>
        </w:trPr>
        <w:tc>
          <w:tcPr>
            <w:tcW w:w="0" w:type="auto"/>
            <w:tcBorders>
              <w:top w:val="nil"/>
              <w:left w:val="single" w:sz="8" w:space="0" w:color="auto"/>
              <w:bottom w:val="single" w:sz="4" w:space="0" w:color="auto"/>
              <w:right w:val="single" w:sz="4" w:space="0" w:color="auto"/>
            </w:tcBorders>
            <w:shd w:val="clear" w:color="000000" w:fill="99CCFF"/>
            <w:noWrap/>
            <w:vAlign w:val="center"/>
            <w:hideMark/>
          </w:tcPr>
          <w:p w14:paraId="6221F836" w14:textId="77777777" w:rsidR="00AD1CEA" w:rsidRDefault="00AD1CEA">
            <w:pPr>
              <w:rPr>
                <w:rFonts w:ascii="Calibri" w:hAnsi="Calibri" w:cs="Calibri"/>
                <w:b/>
                <w:bCs/>
                <w:sz w:val="22"/>
                <w:szCs w:val="22"/>
              </w:rPr>
            </w:pPr>
            <w:r>
              <w:rPr>
                <w:rFonts w:ascii="Calibri" w:hAnsi="Calibri" w:cs="Calibri"/>
                <w:b/>
                <w:bCs/>
                <w:sz w:val="22"/>
                <w:szCs w:val="22"/>
              </w:rPr>
              <w:t>Parametr</w:t>
            </w:r>
          </w:p>
        </w:tc>
        <w:tc>
          <w:tcPr>
            <w:tcW w:w="3907" w:type="dxa"/>
            <w:tcBorders>
              <w:top w:val="nil"/>
              <w:left w:val="nil"/>
              <w:bottom w:val="single" w:sz="4" w:space="0" w:color="auto"/>
              <w:right w:val="nil"/>
            </w:tcBorders>
            <w:shd w:val="clear" w:color="000000" w:fill="99CCFF"/>
            <w:vAlign w:val="center"/>
            <w:hideMark/>
          </w:tcPr>
          <w:p w14:paraId="4C3C0988" w14:textId="77777777" w:rsidR="00AD1CEA" w:rsidRDefault="00AD1CEA">
            <w:pPr>
              <w:rPr>
                <w:rFonts w:ascii="Calibri" w:hAnsi="Calibri" w:cs="Calibri"/>
                <w:b/>
                <w:bCs/>
                <w:sz w:val="22"/>
                <w:szCs w:val="22"/>
              </w:rPr>
            </w:pPr>
            <w:r>
              <w:rPr>
                <w:rFonts w:ascii="Calibri" w:hAnsi="Calibri" w:cs="Calibri"/>
                <w:b/>
                <w:bCs/>
                <w:sz w:val="22"/>
                <w:szCs w:val="22"/>
              </w:rPr>
              <w:t>Požadavek zadavatele</w:t>
            </w:r>
          </w:p>
        </w:tc>
        <w:tc>
          <w:tcPr>
            <w:tcW w:w="1163" w:type="dxa"/>
            <w:tcBorders>
              <w:top w:val="nil"/>
              <w:left w:val="single" w:sz="8" w:space="0" w:color="auto"/>
              <w:bottom w:val="single" w:sz="4" w:space="0" w:color="auto"/>
              <w:right w:val="single" w:sz="4" w:space="0" w:color="auto"/>
            </w:tcBorders>
            <w:shd w:val="clear" w:color="000000" w:fill="99CCFF"/>
            <w:noWrap/>
            <w:vAlign w:val="center"/>
            <w:hideMark/>
          </w:tcPr>
          <w:p w14:paraId="36467F0C" w14:textId="77777777" w:rsidR="00AD1CEA" w:rsidRDefault="00AD1CEA">
            <w:pPr>
              <w:rPr>
                <w:rFonts w:ascii="Calibri" w:hAnsi="Calibri" w:cs="Calibri"/>
                <w:b/>
                <w:bCs/>
                <w:sz w:val="22"/>
                <w:szCs w:val="22"/>
              </w:rPr>
            </w:pPr>
            <w:r>
              <w:rPr>
                <w:rFonts w:ascii="Calibri" w:hAnsi="Calibri" w:cs="Calibri"/>
                <w:b/>
                <w:bCs/>
                <w:sz w:val="22"/>
                <w:szCs w:val="22"/>
              </w:rPr>
              <w:t>Splňuje ANO/NE</w:t>
            </w:r>
          </w:p>
        </w:tc>
        <w:tc>
          <w:tcPr>
            <w:tcW w:w="0" w:type="auto"/>
            <w:tcBorders>
              <w:top w:val="nil"/>
              <w:left w:val="nil"/>
              <w:bottom w:val="single" w:sz="4" w:space="0" w:color="auto"/>
              <w:right w:val="single" w:sz="8" w:space="0" w:color="auto"/>
            </w:tcBorders>
            <w:shd w:val="clear" w:color="000000" w:fill="99CCFF"/>
            <w:vAlign w:val="center"/>
            <w:hideMark/>
          </w:tcPr>
          <w:p w14:paraId="4984C4A1" w14:textId="77777777" w:rsidR="00AD1CEA" w:rsidRDefault="00AD1CEA">
            <w:pPr>
              <w:rPr>
                <w:rFonts w:ascii="Calibri" w:hAnsi="Calibri" w:cs="Calibri"/>
                <w:b/>
                <w:bCs/>
                <w:sz w:val="22"/>
                <w:szCs w:val="22"/>
              </w:rPr>
            </w:pPr>
            <w:r>
              <w:rPr>
                <w:rFonts w:ascii="Calibri" w:hAnsi="Calibri" w:cs="Calibri"/>
                <w:b/>
                <w:bCs/>
                <w:sz w:val="22"/>
                <w:szCs w:val="22"/>
              </w:rPr>
              <w:t>Popis konkrétního splnění požadavku</w:t>
            </w:r>
          </w:p>
        </w:tc>
      </w:tr>
      <w:tr w:rsidR="00AD1CEA" w14:paraId="031A9E92" w14:textId="77777777" w:rsidTr="00B5689E">
        <w:trPr>
          <w:trHeight w:val="91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CE6F195" w14:textId="77777777" w:rsidR="00AD1CEA" w:rsidRDefault="00AD1CEA">
            <w:pPr>
              <w:rPr>
                <w:rFonts w:ascii="Calibri" w:hAnsi="Calibri" w:cs="Calibri"/>
                <w:sz w:val="22"/>
                <w:szCs w:val="22"/>
              </w:rPr>
            </w:pPr>
            <w:r>
              <w:rPr>
                <w:rFonts w:ascii="Calibri" w:hAnsi="Calibri" w:cs="Calibri"/>
                <w:sz w:val="22"/>
                <w:szCs w:val="22"/>
              </w:rPr>
              <w:t>Rozhraní:</w:t>
            </w:r>
          </w:p>
        </w:tc>
        <w:tc>
          <w:tcPr>
            <w:tcW w:w="3907" w:type="dxa"/>
            <w:tcBorders>
              <w:top w:val="nil"/>
              <w:left w:val="nil"/>
              <w:bottom w:val="single" w:sz="4" w:space="0" w:color="auto"/>
              <w:right w:val="nil"/>
            </w:tcBorders>
            <w:shd w:val="clear" w:color="auto" w:fill="auto"/>
            <w:vAlign w:val="center"/>
            <w:hideMark/>
          </w:tcPr>
          <w:p w14:paraId="72CEE53A" w14:textId="77777777" w:rsidR="00AD1CEA" w:rsidRDefault="00AD1CEA">
            <w:pPr>
              <w:rPr>
                <w:rFonts w:ascii="Calibri" w:hAnsi="Calibri" w:cs="Calibri"/>
                <w:sz w:val="22"/>
                <w:szCs w:val="22"/>
              </w:rPr>
            </w:pPr>
            <w:r>
              <w:rPr>
                <w:rFonts w:ascii="Calibri" w:hAnsi="Calibri" w:cs="Calibri"/>
                <w:sz w:val="22"/>
                <w:szCs w:val="22"/>
              </w:rPr>
              <w:t>Možnost souběžného připojení dvou Monitorů DSŘ - oba současně na úrovni min. 4K@60Hz</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063CC4E8"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645A9BDF" w14:textId="77777777" w:rsidR="00AD1CEA" w:rsidRDefault="00AD1CEA">
            <w:pPr>
              <w:rPr>
                <w:rFonts w:ascii="Calibri" w:hAnsi="Calibri" w:cs="Calibri"/>
                <w:sz w:val="22"/>
                <w:szCs w:val="22"/>
              </w:rPr>
            </w:pPr>
            <w:r>
              <w:rPr>
                <w:rFonts w:ascii="Calibri" w:hAnsi="Calibri" w:cs="Calibri"/>
                <w:sz w:val="22"/>
                <w:szCs w:val="22"/>
              </w:rPr>
              <w:t>připojení přes 2x DisplayPort (Dock umožňuje i jiná alternativní připojení nebo jejich kombinace, viz přiložený datový list).</w:t>
            </w:r>
          </w:p>
        </w:tc>
      </w:tr>
      <w:tr w:rsidR="00AD1CEA" w14:paraId="494749E1" w14:textId="77777777" w:rsidTr="00B5689E">
        <w:trPr>
          <w:trHeight w:val="15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F41F160"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000000" w:fill="FFFFFF"/>
            <w:vAlign w:val="center"/>
            <w:hideMark/>
          </w:tcPr>
          <w:p w14:paraId="0FD5BB69" w14:textId="77777777" w:rsidR="00AD1CEA" w:rsidRDefault="00AD1CEA">
            <w:pPr>
              <w:rPr>
                <w:rFonts w:ascii="Calibri" w:hAnsi="Calibri" w:cs="Calibri"/>
                <w:sz w:val="22"/>
                <w:szCs w:val="22"/>
              </w:rPr>
            </w:pPr>
            <w:r>
              <w:rPr>
                <w:rFonts w:ascii="Calibri" w:hAnsi="Calibri" w:cs="Calibri"/>
                <w:sz w:val="22"/>
                <w:szCs w:val="22"/>
              </w:rPr>
              <w:t>Min. 4x USB port (z toho min. 1x USB-C a min. 2x USB-A s přenosovou rychlostí min. 5 Gb/s). Napájecí konektor, dokovací konektor a případný obsazený konektor pro daisy-chain se do splnění požadavku nepočítají</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158352DC"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6A0E7FBC" w14:textId="77777777" w:rsidR="00AD1CEA" w:rsidRDefault="00AD1CEA">
            <w:pPr>
              <w:rPr>
                <w:rFonts w:ascii="Calibri" w:hAnsi="Calibri" w:cs="Calibri"/>
                <w:sz w:val="22"/>
                <w:szCs w:val="22"/>
              </w:rPr>
            </w:pPr>
            <w:r>
              <w:rPr>
                <w:rFonts w:ascii="Calibri" w:hAnsi="Calibri" w:cs="Calibri"/>
                <w:sz w:val="22"/>
                <w:szCs w:val="22"/>
              </w:rPr>
              <w:t xml:space="preserve">6x USB port (z toho 2x USB-C 3.2 2. Gen,  2x USB-A 3.2 1.Gen, 2x USB-C Thunderbolt 4) </w:t>
            </w:r>
          </w:p>
        </w:tc>
      </w:tr>
      <w:tr w:rsidR="00AD1CEA" w14:paraId="65CCF485" w14:textId="77777777" w:rsidTr="00B5689E">
        <w:trPr>
          <w:trHeight w:val="18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EEA1CDF"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06627294" w14:textId="77777777" w:rsidR="00AD1CEA" w:rsidRDefault="00AD1CEA">
            <w:pPr>
              <w:rPr>
                <w:rFonts w:ascii="Calibri" w:hAnsi="Calibri" w:cs="Calibri"/>
                <w:sz w:val="22"/>
                <w:szCs w:val="22"/>
              </w:rPr>
            </w:pPr>
            <w:r>
              <w:rPr>
                <w:rFonts w:ascii="Calibri" w:hAnsi="Calibri" w:cs="Calibri"/>
                <w:sz w:val="22"/>
                <w:szCs w:val="22"/>
              </w:rPr>
              <w:t>1x RJ-45,100/1000 Mbps</w:t>
            </w:r>
            <w:r>
              <w:rPr>
                <w:rFonts w:ascii="Calibri" w:hAnsi="Calibri" w:cs="Calibri"/>
                <w:sz w:val="22"/>
                <w:szCs w:val="22"/>
              </w:rPr>
              <w:br/>
              <w:t>Dokovací stanice musí podporovat WoL, PXE a možnost převzetí MAC adresy notebooku pro jeho jednoznačnou identifikaci v rámci systému hromadné správy (MAC Address Pass-Through / Host Based MAC Address)</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09D249E5"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3699D85"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6C0CB2C"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CD802A"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20BA89AD" w14:textId="77777777" w:rsidR="00AD1CEA" w:rsidRDefault="00AD1CEA">
            <w:pPr>
              <w:rPr>
                <w:rFonts w:ascii="Calibri" w:hAnsi="Calibri" w:cs="Calibri"/>
                <w:sz w:val="22"/>
                <w:szCs w:val="22"/>
              </w:rPr>
            </w:pPr>
            <w:r>
              <w:rPr>
                <w:rFonts w:ascii="Calibri" w:hAnsi="Calibri" w:cs="Calibri"/>
                <w:sz w:val="22"/>
                <w:szCs w:val="22"/>
              </w:rPr>
              <w:t>1x dokovací konektor (kompatibilní s dodaným notebookem) - nepočítá se do splnění minimálního počtu jiných portů dokovací stanice</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2F407117"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563F5586"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07C9690"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3F3A7D"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3DB3AFA4" w14:textId="77777777" w:rsidR="00AD1CEA" w:rsidRDefault="00AD1CEA">
            <w:pPr>
              <w:rPr>
                <w:rFonts w:ascii="Calibri" w:hAnsi="Calibri" w:cs="Calibri"/>
                <w:sz w:val="22"/>
                <w:szCs w:val="22"/>
              </w:rPr>
            </w:pPr>
            <w:r>
              <w:rPr>
                <w:rFonts w:ascii="Calibri" w:hAnsi="Calibri" w:cs="Calibri"/>
                <w:sz w:val="22"/>
                <w:szCs w:val="22"/>
              </w:rPr>
              <w:t>1x napájecí vstup/konektor, nepočítá se do splnění minimálního počtu jiných portů dokovací stanice</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31660570"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31EB71E1"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F097D08"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6A8D347"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05BE10C8" w14:textId="77777777" w:rsidR="00AD1CEA" w:rsidRDefault="00AD1CEA">
            <w:pPr>
              <w:rPr>
                <w:rFonts w:ascii="Calibri" w:hAnsi="Calibri" w:cs="Calibri"/>
                <w:sz w:val="22"/>
                <w:szCs w:val="22"/>
              </w:rPr>
            </w:pPr>
            <w:r>
              <w:rPr>
                <w:rFonts w:ascii="Calibri" w:hAnsi="Calibri" w:cs="Calibri"/>
                <w:sz w:val="22"/>
                <w:szCs w:val="22"/>
              </w:rPr>
              <w:t>Funkce napájení a nabíjení notebooku, včetně kabelu - vždy alespoň na úrovni příkonu notebooku</w:t>
            </w:r>
          </w:p>
        </w:tc>
        <w:tc>
          <w:tcPr>
            <w:tcW w:w="1163" w:type="dxa"/>
            <w:tcBorders>
              <w:top w:val="nil"/>
              <w:left w:val="single" w:sz="8" w:space="0" w:color="auto"/>
              <w:bottom w:val="single" w:sz="4" w:space="0" w:color="auto"/>
              <w:right w:val="nil"/>
            </w:tcBorders>
            <w:shd w:val="clear" w:color="000000" w:fill="FFFF00"/>
            <w:vAlign w:val="center"/>
            <w:hideMark/>
          </w:tcPr>
          <w:p w14:paraId="67966EC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single" w:sz="4" w:space="0" w:color="auto"/>
              <w:bottom w:val="single" w:sz="4" w:space="0" w:color="auto"/>
              <w:right w:val="single" w:sz="8" w:space="0" w:color="auto"/>
            </w:tcBorders>
            <w:shd w:val="clear" w:color="000000" w:fill="FFFF00"/>
            <w:vAlign w:val="center"/>
            <w:hideMark/>
          </w:tcPr>
          <w:p w14:paraId="11254D0C" w14:textId="77777777" w:rsidR="00AD1CEA" w:rsidRDefault="00AD1CEA">
            <w:pPr>
              <w:rPr>
                <w:rFonts w:ascii="Calibri" w:hAnsi="Calibri" w:cs="Calibri"/>
                <w:sz w:val="22"/>
                <w:szCs w:val="22"/>
              </w:rPr>
            </w:pPr>
            <w:r>
              <w:rPr>
                <w:rFonts w:ascii="Calibri" w:hAnsi="Calibri" w:cs="Calibri"/>
                <w:sz w:val="22"/>
                <w:szCs w:val="22"/>
              </w:rPr>
              <w:t>napájecí adaptér 180W součástí dodávky docku</w:t>
            </w:r>
          </w:p>
        </w:tc>
      </w:tr>
      <w:tr w:rsidR="00AD1CEA" w14:paraId="1BB09DF6"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A0E742D"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678B94C6" w14:textId="77777777" w:rsidR="00AD1CEA" w:rsidRDefault="00AD1CEA">
            <w:pPr>
              <w:rPr>
                <w:rFonts w:ascii="Calibri" w:hAnsi="Calibri" w:cs="Calibri"/>
                <w:sz w:val="22"/>
                <w:szCs w:val="22"/>
              </w:rPr>
            </w:pPr>
            <w:r>
              <w:rPr>
                <w:rFonts w:ascii="Calibri" w:hAnsi="Calibri" w:cs="Calibri"/>
                <w:sz w:val="22"/>
                <w:szCs w:val="22"/>
              </w:rPr>
              <w:t>Síťový adaptér odpovídající maximálnímu možnému příkonu notebooku a dokovací stanice</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70D75322"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F9D2C13"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9EAB7EF"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A89DAA"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nil"/>
            </w:tcBorders>
            <w:shd w:val="clear" w:color="auto" w:fill="auto"/>
            <w:vAlign w:val="center"/>
            <w:hideMark/>
          </w:tcPr>
          <w:p w14:paraId="1CB55E8C" w14:textId="77777777" w:rsidR="00AD1CEA" w:rsidRDefault="00AD1CEA">
            <w:pPr>
              <w:rPr>
                <w:rFonts w:ascii="Calibri" w:hAnsi="Calibri" w:cs="Calibri"/>
                <w:sz w:val="22"/>
                <w:szCs w:val="22"/>
              </w:rPr>
            </w:pPr>
            <w:r>
              <w:rPr>
                <w:rFonts w:ascii="Calibri" w:hAnsi="Calibri" w:cs="Calibri"/>
                <w:sz w:val="22"/>
                <w:szCs w:val="22"/>
              </w:rPr>
              <w:t>Dokovací stanice včetně síťového adaptéru musí být od stejného výrobce jako nabízený notebook</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74F8E7E3"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BE4F72A"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A881C2F"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C9F3612" w14:textId="77777777" w:rsidR="00AD1CEA" w:rsidRDefault="00AD1CEA">
            <w:pPr>
              <w:rPr>
                <w:rFonts w:ascii="Calibri" w:hAnsi="Calibri" w:cs="Calibri"/>
                <w:sz w:val="22"/>
                <w:szCs w:val="22"/>
              </w:rPr>
            </w:pPr>
            <w:r>
              <w:rPr>
                <w:rFonts w:ascii="Calibri" w:hAnsi="Calibri" w:cs="Calibri"/>
                <w:sz w:val="22"/>
                <w:szCs w:val="22"/>
              </w:rPr>
              <w:t>Záruční podmínky:</w:t>
            </w:r>
          </w:p>
        </w:tc>
        <w:tc>
          <w:tcPr>
            <w:tcW w:w="3907" w:type="dxa"/>
            <w:tcBorders>
              <w:top w:val="nil"/>
              <w:left w:val="nil"/>
              <w:bottom w:val="single" w:sz="4" w:space="0" w:color="auto"/>
              <w:right w:val="nil"/>
            </w:tcBorders>
            <w:shd w:val="clear" w:color="auto" w:fill="auto"/>
            <w:vAlign w:val="center"/>
            <w:hideMark/>
          </w:tcPr>
          <w:p w14:paraId="32EA401C" w14:textId="77777777" w:rsidR="00AD1CEA" w:rsidRDefault="00AD1CEA">
            <w:pPr>
              <w:rPr>
                <w:rFonts w:ascii="Calibri" w:hAnsi="Calibri" w:cs="Calibri"/>
                <w:sz w:val="22"/>
                <w:szCs w:val="22"/>
              </w:rPr>
            </w:pPr>
            <w:r>
              <w:rPr>
                <w:rFonts w:ascii="Calibri" w:hAnsi="Calibri" w:cs="Calibri"/>
                <w:sz w:val="22"/>
                <w:szCs w:val="22"/>
              </w:rPr>
              <w:t>Min. 60 měsíců</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5FAA377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01F4433"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98B99F6" w14:textId="77777777" w:rsidTr="00B5689E">
        <w:trPr>
          <w:trHeight w:val="12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AE381B" w14:textId="77777777" w:rsidR="00AD1CEA" w:rsidRDefault="00AD1CEA">
            <w:pPr>
              <w:rPr>
                <w:rFonts w:ascii="Calibri" w:hAnsi="Calibri" w:cs="Calibri"/>
                <w:sz w:val="22"/>
                <w:szCs w:val="22"/>
              </w:rPr>
            </w:pPr>
            <w:r>
              <w:rPr>
                <w:rFonts w:ascii="Calibri" w:hAnsi="Calibri" w:cs="Calibri"/>
                <w:sz w:val="22"/>
                <w:szCs w:val="22"/>
              </w:rPr>
              <w:t>Servis:</w:t>
            </w:r>
          </w:p>
        </w:tc>
        <w:tc>
          <w:tcPr>
            <w:tcW w:w="3907" w:type="dxa"/>
            <w:tcBorders>
              <w:top w:val="nil"/>
              <w:left w:val="nil"/>
              <w:bottom w:val="single" w:sz="4" w:space="0" w:color="auto"/>
              <w:right w:val="nil"/>
            </w:tcBorders>
            <w:shd w:val="clear" w:color="auto" w:fill="auto"/>
            <w:vAlign w:val="center"/>
            <w:hideMark/>
          </w:tcPr>
          <w:p w14:paraId="70AB0F0A" w14:textId="77777777" w:rsidR="00AD1CEA" w:rsidRDefault="00AD1CEA">
            <w:pPr>
              <w:rPr>
                <w:rFonts w:ascii="Calibri" w:hAnsi="Calibri" w:cs="Calibri"/>
                <w:sz w:val="22"/>
                <w:szCs w:val="22"/>
              </w:rPr>
            </w:pPr>
            <w:r>
              <w:rPr>
                <w:rFonts w:ascii="Calibri" w:hAnsi="Calibri" w:cs="Calibri"/>
                <w:sz w:val="22"/>
                <w:szCs w:val="22"/>
              </w:rPr>
              <w:t>V místě instalace zařízení u zákazníka s ukončením opravy následující pracovní den od jejího nahlášení. Servis prováděný výrobcem či jím autorizovaným subjektem</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6D6CEB6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690514D"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A1DB60D" w14:textId="77777777" w:rsidTr="00834D2A">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E6BE7"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E4838" w14:textId="77777777" w:rsidR="00AD1CEA" w:rsidRDefault="00AD1CEA">
            <w:pPr>
              <w:rPr>
                <w:rFonts w:ascii="Calibri" w:hAnsi="Calibri" w:cs="Calibri"/>
                <w:sz w:val="22"/>
                <w:szCs w:val="22"/>
              </w:rPr>
            </w:pPr>
            <w:r>
              <w:rPr>
                <w:rFonts w:ascii="Calibri" w:hAnsi="Calibri" w:cs="Calibri"/>
                <w:sz w:val="22"/>
                <w:szCs w:val="22"/>
              </w:rPr>
              <w:t>Jediné kontaktní místo pro nahlášení poruch pro celou ČR, servisní střediska pokrývající celé území ČR</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E457B3E"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1A95A668"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62B2FDA" w14:textId="77777777" w:rsidTr="00834D2A">
        <w:trPr>
          <w:trHeight w:val="9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DFB7E"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60AD5" w14:textId="77777777" w:rsidR="00AD1CEA" w:rsidRDefault="00AD1CEA">
            <w:pPr>
              <w:rPr>
                <w:rFonts w:ascii="Calibri" w:hAnsi="Calibri" w:cs="Calibri"/>
                <w:sz w:val="22"/>
                <w:szCs w:val="22"/>
              </w:rPr>
            </w:pPr>
            <w:r>
              <w:rPr>
                <w:rFonts w:ascii="Calibri" w:hAnsi="Calibri" w:cs="Calibri"/>
                <w:sz w:val="22"/>
                <w:szCs w:val="22"/>
              </w:rPr>
              <w:t>Podpora poskytovaná prostřednictvím telefonní linky musí být dostupná v pracovní dny min. v době od 9:00 do 16:00 hod.</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5DA6318"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72DB825C" w14:textId="77777777" w:rsidR="00AD1CEA" w:rsidRDefault="00AD1CEA">
            <w:pPr>
              <w:rPr>
                <w:rFonts w:ascii="Calibri" w:hAnsi="Calibri" w:cs="Calibri"/>
                <w:sz w:val="22"/>
                <w:szCs w:val="22"/>
              </w:rPr>
            </w:pPr>
            <w:r>
              <w:rPr>
                <w:rFonts w:ascii="Calibri" w:hAnsi="Calibri" w:cs="Calibri"/>
                <w:sz w:val="22"/>
                <w:szCs w:val="22"/>
              </w:rPr>
              <w:t> </w:t>
            </w:r>
          </w:p>
          <w:p w14:paraId="06188822" w14:textId="40C22393" w:rsidR="00834D2A" w:rsidRDefault="00834D2A">
            <w:pPr>
              <w:rPr>
                <w:rFonts w:ascii="Calibri" w:hAnsi="Calibri" w:cs="Calibri"/>
                <w:sz w:val="22"/>
                <w:szCs w:val="22"/>
              </w:rPr>
            </w:pPr>
          </w:p>
        </w:tc>
      </w:tr>
      <w:tr w:rsidR="00AD1CEA" w14:paraId="7FEC6030" w14:textId="77777777" w:rsidTr="00834D2A">
        <w:trPr>
          <w:trHeight w:val="315"/>
        </w:trPr>
        <w:tc>
          <w:tcPr>
            <w:tcW w:w="0" w:type="auto"/>
            <w:tcBorders>
              <w:top w:val="single" w:sz="4" w:space="0" w:color="auto"/>
              <w:bottom w:val="nil"/>
              <w:right w:val="nil"/>
            </w:tcBorders>
            <w:shd w:val="clear" w:color="auto" w:fill="auto"/>
            <w:noWrap/>
            <w:vAlign w:val="center"/>
            <w:hideMark/>
          </w:tcPr>
          <w:p w14:paraId="71D7C48A"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single" w:sz="4" w:space="0" w:color="auto"/>
              <w:left w:val="nil"/>
              <w:bottom w:val="nil"/>
              <w:right w:val="nil"/>
            </w:tcBorders>
            <w:shd w:val="clear" w:color="auto" w:fill="auto"/>
            <w:vAlign w:val="center"/>
            <w:hideMark/>
          </w:tcPr>
          <w:p w14:paraId="7D9BD631" w14:textId="1CB30707" w:rsidR="00834D2A" w:rsidRDefault="00834D2A">
            <w:pPr>
              <w:rPr>
                <w:rFonts w:ascii="Calibri" w:hAnsi="Calibri" w:cs="Calibri"/>
                <w:sz w:val="22"/>
                <w:szCs w:val="22"/>
              </w:rPr>
            </w:pPr>
          </w:p>
        </w:tc>
        <w:tc>
          <w:tcPr>
            <w:tcW w:w="1163" w:type="dxa"/>
            <w:tcBorders>
              <w:top w:val="single" w:sz="4" w:space="0" w:color="auto"/>
              <w:left w:val="nil"/>
              <w:bottom w:val="nil"/>
              <w:right w:val="nil"/>
            </w:tcBorders>
            <w:shd w:val="clear" w:color="auto" w:fill="auto"/>
            <w:vAlign w:val="center"/>
            <w:hideMark/>
          </w:tcPr>
          <w:p w14:paraId="5E7523F0" w14:textId="77777777" w:rsidR="00AD1CEA" w:rsidRDefault="00AD1CEA">
            <w:pPr>
              <w:rPr>
                <w:sz w:val="20"/>
                <w:szCs w:val="20"/>
              </w:rPr>
            </w:pPr>
          </w:p>
        </w:tc>
        <w:tc>
          <w:tcPr>
            <w:tcW w:w="0" w:type="auto"/>
            <w:tcBorders>
              <w:top w:val="single" w:sz="4" w:space="0" w:color="auto"/>
              <w:left w:val="nil"/>
              <w:bottom w:val="nil"/>
              <w:right w:val="nil"/>
            </w:tcBorders>
            <w:shd w:val="clear" w:color="auto" w:fill="auto"/>
            <w:vAlign w:val="center"/>
            <w:hideMark/>
          </w:tcPr>
          <w:p w14:paraId="4EF09E0E" w14:textId="77777777" w:rsidR="00AD1CEA" w:rsidRDefault="00AD1CEA">
            <w:pPr>
              <w:rPr>
                <w:sz w:val="20"/>
                <w:szCs w:val="20"/>
              </w:rPr>
            </w:pPr>
          </w:p>
        </w:tc>
      </w:tr>
      <w:tr w:rsidR="00AD1CEA" w14:paraId="228863C5" w14:textId="77777777" w:rsidTr="00B5689E">
        <w:trPr>
          <w:trHeight w:val="300"/>
        </w:trPr>
        <w:tc>
          <w:tcPr>
            <w:tcW w:w="5660" w:type="dxa"/>
            <w:gridSpan w:val="2"/>
            <w:tcBorders>
              <w:top w:val="single" w:sz="8" w:space="0" w:color="auto"/>
              <w:left w:val="single" w:sz="8" w:space="0" w:color="auto"/>
              <w:bottom w:val="single" w:sz="4" w:space="0" w:color="auto"/>
              <w:right w:val="single" w:sz="4" w:space="0" w:color="auto"/>
            </w:tcBorders>
            <w:shd w:val="clear" w:color="000000" w:fill="99CCFF"/>
            <w:vAlign w:val="center"/>
            <w:hideMark/>
          </w:tcPr>
          <w:p w14:paraId="2A33213A" w14:textId="77777777" w:rsidR="00AD1CEA" w:rsidRDefault="00AD1CEA">
            <w:pPr>
              <w:jc w:val="center"/>
              <w:rPr>
                <w:rFonts w:ascii="Calibri" w:hAnsi="Calibri" w:cs="Calibri"/>
                <w:b/>
                <w:bCs/>
                <w:sz w:val="22"/>
                <w:szCs w:val="22"/>
              </w:rPr>
            </w:pPr>
            <w:r>
              <w:rPr>
                <w:rFonts w:ascii="Calibri" w:hAnsi="Calibri" w:cs="Calibri"/>
                <w:b/>
                <w:bCs/>
                <w:sz w:val="22"/>
                <w:szCs w:val="22"/>
              </w:rPr>
              <w:lastRenderedPageBreak/>
              <w:t>Příslušenství DSŘ</w:t>
            </w:r>
          </w:p>
        </w:tc>
        <w:tc>
          <w:tcPr>
            <w:tcW w:w="3958" w:type="dxa"/>
            <w:gridSpan w:val="2"/>
            <w:tcBorders>
              <w:top w:val="single" w:sz="8" w:space="0" w:color="auto"/>
              <w:left w:val="single" w:sz="8" w:space="0" w:color="auto"/>
              <w:bottom w:val="single" w:sz="4" w:space="0" w:color="auto"/>
              <w:right w:val="single" w:sz="8" w:space="0" w:color="000000"/>
            </w:tcBorders>
            <w:shd w:val="clear" w:color="000000" w:fill="BFBFBF"/>
            <w:vAlign w:val="center"/>
            <w:hideMark/>
          </w:tcPr>
          <w:p w14:paraId="068E776E" w14:textId="77777777" w:rsidR="00AD1CEA" w:rsidRDefault="00AD1CEA">
            <w:pPr>
              <w:jc w:val="center"/>
              <w:rPr>
                <w:rFonts w:ascii="Calibri" w:hAnsi="Calibri" w:cs="Calibri"/>
                <w:b/>
                <w:bCs/>
                <w:sz w:val="22"/>
                <w:szCs w:val="22"/>
              </w:rPr>
            </w:pPr>
            <w:r>
              <w:rPr>
                <w:rFonts w:ascii="Calibri" w:hAnsi="Calibri" w:cs="Calibri"/>
                <w:b/>
                <w:bCs/>
                <w:sz w:val="22"/>
                <w:szCs w:val="22"/>
              </w:rPr>
              <w:t> </w:t>
            </w:r>
          </w:p>
        </w:tc>
      </w:tr>
      <w:tr w:rsidR="00AD1CEA" w14:paraId="20665BF7" w14:textId="77777777" w:rsidTr="00B5689E">
        <w:trPr>
          <w:trHeight w:val="300"/>
        </w:trPr>
        <w:tc>
          <w:tcPr>
            <w:tcW w:w="0" w:type="auto"/>
            <w:tcBorders>
              <w:top w:val="nil"/>
              <w:left w:val="single" w:sz="8" w:space="0" w:color="auto"/>
              <w:bottom w:val="single" w:sz="4" w:space="0" w:color="auto"/>
              <w:right w:val="single" w:sz="4" w:space="0" w:color="auto"/>
            </w:tcBorders>
            <w:shd w:val="clear" w:color="000000" w:fill="99CCFF"/>
            <w:noWrap/>
            <w:vAlign w:val="center"/>
            <w:hideMark/>
          </w:tcPr>
          <w:p w14:paraId="656847DE" w14:textId="77777777" w:rsidR="00AD1CEA" w:rsidRDefault="00AD1CEA">
            <w:pPr>
              <w:rPr>
                <w:rFonts w:ascii="Calibri" w:hAnsi="Calibri" w:cs="Calibri"/>
                <w:b/>
                <w:bCs/>
                <w:sz w:val="22"/>
                <w:szCs w:val="22"/>
              </w:rPr>
            </w:pPr>
            <w:r>
              <w:rPr>
                <w:rFonts w:ascii="Calibri" w:hAnsi="Calibri" w:cs="Calibri"/>
                <w:b/>
                <w:bCs/>
                <w:sz w:val="22"/>
                <w:szCs w:val="22"/>
              </w:rPr>
              <w:t>Parametr</w:t>
            </w:r>
          </w:p>
        </w:tc>
        <w:tc>
          <w:tcPr>
            <w:tcW w:w="3907" w:type="dxa"/>
            <w:tcBorders>
              <w:top w:val="nil"/>
              <w:left w:val="nil"/>
              <w:bottom w:val="single" w:sz="4" w:space="0" w:color="auto"/>
              <w:right w:val="nil"/>
            </w:tcBorders>
            <w:shd w:val="clear" w:color="000000" w:fill="99CCFF"/>
            <w:noWrap/>
            <w:vAlign w:val="center"/>
            <w:hideMark/>
          </w:tcPr>
          <w:p w14:paraId="6C99FE8A" w14:textId="77777777" w:rsidR="00AD1CEA" w:rsidRDefault="00AD1CEA">
            <w:pPr>
              <w:rPr>
                <w:rFonts w:ascii="Calibri" w:hAnsi="Calibri" w:cs="Calibri"/>
                <w:b/>
                <w:bCs/>
                <w:sz w:val="22"/>
                <w:szCs w:val="22"/>
              </w:rPr>
            </w:pPr>
            <w:r>
              <w:rPr>
                <w:rFonts w:ascii="Calibri" w:hAnsi="Calibri" w:cs="Calibri"/>
                <w:b/>
                <w:bCs/>
                <w:sz w:val="22"/>
                <w:szCs w:val="22"/>
              </w:rPr>
              <w:t>Požadavek zadavatele</w:t>
            </w:r>
          </w:p>
        </w:tc>
        <w:tc>
          <w:tcPr>
            <w:tcW w:w="1163" w:type="dxa"/>
            <w:tcBorders>
              <w:top w:val="nil"/>
              <w:left w:val="single" w:sz="8" w:space="0" w:color="auto"/>
              <w:bottom w:val="single" w:sz="4" w:space="0" w:color="auto"/>
              <w:right w:val="single" w:sz="4" w:space="0" w:color="auto"/>
            </w:tcBorders>
            <w:shd w:val="clear" w:color="000000" w:fill="99CCFF"/>
            <w:noWrap/>
            <w:vAlign w:val="center"/>
            <w:hideMark/>
          </w:tcPr>
          <w:p w14:paraId="6AC6EDBD" w14:textId="77777777" w:rsidR="00AD1CEA" w:rsidRDefault="00AD1CEA">
            <w:pPr>
              <w:rPr>
                <w:rFonts w:ascii="Calibri" w:hAnsi="Calibri" w:cs="Calibri"/>
                <w:b/>
                <w:bCs/>
                <w:sz w:val="22"/>
                <w:szCs w:val="22"/>
              </w:rPr>
            </w:pPr>
            <w:r>
              <w:rPr>
                <w:rFonts w:ascii="Calibri" w:hAnsi="Calibri" w:cs="Calibri"/>
                <w:b/>
                <w:bCs/>
                <w:sz w:val="22"/>
                <w:szCs w:val="22"/>
              </w:rPr>
              <w:t>Splňuje ANO/NE</w:t>
            </w:r>
          </w:p>
        </w:tc>
        <w:tc>
          <w:tcPr>
            <w:tcW w:w="0" w:type="auto"/>
            <w:tcBorders>
              <w:top w:val="nil"/>
              <w:left w:val="nil"/>
              <w:bottom w:val="single" w:sz="4" w:space="0" w:color="auto"/>
              <w:right w:val="single" w:sz="8" w:space="0" w:color="auto"/>
            </w:tcBorders>
            <w:shd w:val="clear" w:color="000000" w:fill="99CCFF"/>
            <w:vAlign w:val="center"/>
            <w:hideMark/>
          </w:tcPr>
          <w:p w14:paraId="6C9B645E" w14:textId="77777777" w:rsidR="00AD1CEA" w:rsidRDefault="00AD1CEA">
            <w:pPr>
              <w:rPr>
                <w:rFonts w:ascii="Calibri" w:hAnsi="Calibri" w:cs="Calibri"/>
                <w:b/>
                <w:bCs/>
                <w:sz w:val="22"/>
                <w:szCs w:val="22"/>
              </w:rPr>
            </w:pPr>
            <w:r>
              <w:rPr>
                <w:rFonts w:ascii="Calibri" w:hAnsi="Calibri" w:cs="Calibri"/>
                <w:b/>
                <w:bCs/>
                <w:sz w:val="22"/>
                <w:szCs w:val="22"/>
              </w:rPr>
              <w:t>Popis konkrétního splnění požadavku</w:t>
            </w:r>
          </w:p>
        </w:tc>
      </w:tr>
      <w:tr w:rsidR="00AD1CEA" w14:paraId="6F612BA8"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hideMark/>
          </w:tcPr>
          <w:p w14:paraId="11E2E947" w14:textId="77777777" w:rsidR="00AD1CEA" w:rsidRDefault="00AD1CEA">
            <w:pPr>
              <w:rPr>
                <w:rFonts w:ascii="Calibri" w:hAnsi="Calibri" w:cs="Calibri"/>
                <w:sz w:val="22"/>
                <w:szCs w:val="22"/>
              </w:rPr>
            </w:pPr>
            <w:r>
              <w:rPr>
                <w:rFonts w:ascii="Calibri" w:hAnsi="Calibri" w:cs="Calibri"/>
                <w:sz w:val="22"/>
                <w:szCs w:val="22"/>
              </w:rPr>
              <w:t>Příslušenství:</w:t>
            </w:r>
          </w:p>
        </w:tc>
        <w:tc>
          <w:tcPr>
            <w:tcW w:w="3907" w:type="dxa"/>
            <w:tcBorders>
              <w:top w:val="nil"/>
              <w:left w:val="nil"/>
              <w:bottom w:val="single" w:sz="4" w:space="0" w:color="auto"/>
              <w:right w:val="nil"/>
            </w:tcBorders>
            <w:shd w:val="clear" w:color="auto" w:fill="auto"/>
            <w:hideMark/>
          </w:tcPr>
          <w:p w14:paraId="491BF467" w14:textId="77777777" w:rsidR="00AD1CEA" w:rsidRDefault="00AD1CEA">
            <w:pPr>
              <w:rPr>
                <w:rFonts w:ascii="Calibri" w:hAnsi="Calibri" w:cs="Calibri"/>
                <w:sz w:val="22"/>
                <w:szCs w:val="22"/>
              </w:rPr>
            </w:pPr>
            <w:r>
              <w:rPr>
                <w:rFonts w:ascii="Calibri" w:hAnsi="Calibri" w:cs="Calibri"/>
                <w:sz w:val="22"/>
                <w:szCs w:val="22"/>
              </w:rPr>
              <w:t xml:space="preserve">Klávesnice s 12 funkčními tlačítky a numerickou částí, rozložení US/CZ, připojení USB </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507BE251"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3BA62188"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B406D59"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hideMark/>
          </w:tcPr>
          <w:p w14:paraId="7DD4B048"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single" w:sz="8" w:space="0" w:color="auto"/>
            </w:tcBorders>
            <w:shd w:val="clear" w:color="auto" w:fill="auto"/>
            <w:hideMark/>
          </w:tcPr>
          <w:p w14:paraId="637BBBDB" w14:textId="77777777" w:rsidR="00AD1CEA" w:rsidRDefault="00AD1CEA">
            <w:pPr>
              <w:rPr>
                <w:rFonts w:ascii="Calibri" w:hAnsi="Calibri" w:cs="Calibri"/>
                <w:sz w:val="22"/>
                <w:szCs w:val="22"/>
              </w:rPr>
            </w:pPr>
            <w:r>
              <w:rPr>
                <w:rFonts w:ascii="Calibri" w:hAnsi="Calibri" w:cs="Calibri"/>
                <w:sz w:val="22"/>
                <w:szCs w:val="22"/>
              </w:rPr>
              <w:t>Myš, klasická velikost, minimálně 3 tlačítka s kolečkem, připojení USB, kabel min. 1,5 m</w:t>
            </w:r>
          </w:p>
        </w:tc>
        <w:tc>
          <w:tcPr>
            <w:tcW w:w="1163" w:type="dxa"/>
            <w:tcBorders>
              <w:top w:val="nil"/>
              <w:left w:val="nil"/>
              <w:bottom w:val="single" w:sz="4" w:space="0" w:color="auto"/>
              <w:right w:val="single" w:sz="4" w:space="0" w:color="auto"/>
            </w:tcBorders>
            <w:shd w:val="clear" w:color="000000" w:fill="FFFF00"/>
            <w:vAlign w:val="center"/>
            <w:hideMark/>
          </w:tcPr>
          <w:p w14:paraId="1CE2AA96"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3EB6F0CB"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466393E"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AF9B64" w14:textId="77777777" w:rsidR="00AD1CEA" w:rsidRDefault="00AD1CEA">
            <w:pPr>
              <w:rPr>
                <w:rFonts w:ascii="Calibri" w:hAnsi="Calibri" w:cs="Calibri"/>
                <w:sz w:val="22"/>
                <w:szCs w:val="22"/>
              </w:rPr>
            </w:pPr>
            <w:r>
              <w:rPr>
                <w:rFonts w:ascii="Calibri" w:hAnsi="Calibri" w:cs="Calibri"/>
                <w:sz w:val="22"/>
                <w:szCs w:val="22"/>
              </w:rPr>
              <w:t>Záruční podmínky:</w:t>
            </w:r>
          </w:p>
        </w:tc>
        <w:tc>
          <w:tcPr>
            <w:tcW w:w="3907" w:type="dxa"/>
            <w:tcBorders>
              <w:top w:val="nil"/>
              <w:left w:val="nil"/>
              <w:bottom w:val="single" w:sz="4" w:space="0" w:color="auto"/>
              <w:right w:val="nil"/>
            </w:tcBorders>
            <w:shd w:val="clear" w:color="auto" w:fill="auto"/>
            <w:vAlign w:val="center"/>
            <w:hideMark/>
          </w:tcPr>
          <w:p w14:paraId="08E91DAE" w14:textId="77777777" w:rsidR="00AD1CEA" w:rsidRDefault="00AD1CEA">
            <w:pPr>
              <w:rPr>
                <w:rFonts w:ascii="Calibri" w:hAnsi="Calibri" w:cs="Calibri"/>
                <w:sz w:val="22"/>
                <w:szCs w:val="22"/>
              </w:rPr>
            </w:pPr>
            <w:r>
              <w:rPr>
                <w:rFonts w:ascii="Calibri" w:hAnsi="Calibri" w:cs="Calibri"/>
                <w:sz w:val="22"/>
                <w:szCs w:val="22"/>
              </w:rPr>
              <w:t>Min. 60 měsíců</w:t>
            </w:r>
          </w:p>
        </w:tc>
        <w:tc>
          <w:tcPr>
            <w:tcW w:w="1163" w:type="dxa"/>
            <w:tcBorders>
              <w:top w:val="nil"/>
              <w:left w:val="single" w:sz="8" w:space="0" w:color="auto"/>
              <w:bottom w:val="single" w:sz="4" w:space="0" w:color="auto"/>
              <w:right w:val="single" w:sz="4" w:space="0" w:color="auto"/>
            </w:tcBorders>
            <w:shd w:val="clear" w:color="000000" w:fill="FFFF00"/>
            <w:vAlign w:val="center"/>
            <w:hideMark/>
          </w:tcPr>
          <w:p w14:paraId="7224413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73E71D91" w14:textId="77777777" w:rsidR="00AD1CEA" w:rsidRDefault="00AD1CEA">
            <w:pPr>
              <w:rPr>
                <w:rFonts w:ascii="Calibri" w:hAnsi="Calibri" w:cs="Calibri"/>
                <w:sz w:val="22"/>
                <w:szCs w:val="22"/>
              </w:rPr>
            </w:pPr>
            <w:r>
              <w:rPr>
                <w:rFonts w:ascii="Calibri" w:hAnsi="Calibri" w:cs="Calibri"/>
                <w:sz w:val="22"/>
                <w:szCs w:val="22"/>
              </w:rPr>
              <w:t>60 měsíců</w:t>
            </w:r>
          </w:p>
        </w:tc>
      </w:tr>
      <w:tr w:rsidR="00AD1CEA" w14:paraId="2BB7C2F6" w14:textId="77777777" w:rsidTr="00B5689E">
        <w:trPr>
          <w:trHeight w:val="121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0AEB2D9" w14:textId="77777777" w:rsidR="00AD1CEA" w:rsidRDefault="00AD1CEA">
            <w:pPr>
              <w:rPr>
                <w:rFonts w:ascii="Calibri" w:hAnsi="Calibri" w:cs="Calibri"/>
                <w:sz w:val="22"/>
                <w:szCs w:val="22"/>
              </w:rPr>
            </w:pPr>
            <w:r>
              <w:rPr>
                <w:rFonts w:ascii="Calibri" w:hAnsi="Calibri" w:cs="Calibri"/>
                <w:sz w:val="22"/>
                <w:szCs w:val="22"/>
              </w:rPr>
              <w:t>Servis:</w:t>
            </w:r>
          </w:p>
        </w:tc>
        <w:tc>
          <w:tcPr>
            <w:tcW w:w="3907" w:type="dxa"/>
            <w:tcBorders>
              <w:top w:val="nil"/>
              <w:left w:val="nil"/>
              <w:bottom w:val="single" w:sz="8" w:space="0" w:color="auto"/>
              <w:right w:val="single" w:sz="4" w:space="0" w:color="auto"/>
            </w:tcBorders>
            <w:shd w:val="clear" w:color="auto" w:fill="auto"/>
            <w:vAlign w:val="center"/>
            <w:hideMark/>
          </w:tcPr>
          <w:p w14:paraId="291018EF" w14:textId="77777777" w:rsidR="00AD1CEA" w:rsidRDefault="00AD1CEA">
            <w:pPr>
              <w:rPr>
                <w:rFonts w:ascii="Calibri" w:hAnsi="Calibri" w:cs="Calibri"/>
                <w:sz w:val="22"/>
                <w:szCs w:val="22"/>
              </w:rPr>
            </w:pPr>
            <w:r>
              <w:rPr>
                <w:rFonts w:ascii="Calibri" w:hAnsi="Calibri" w:cs="Calibri"/>
                <w:sz w:val="22"/>
                <w:szCs w:val="22"/>
              </w:rPr>
              <w:t>V místě instalace zařízení u zákazníka s ukončením opravy následující pracovní den od jejího nahlášení. Servis prováděný výrobcem či jím autorizovaným subjektem</w:t>
            </w:r>
          </w:p>
        </w:tc>
        <w:tc>
          <w:tcPr>
            <w:tcW w:w="1163" w:type="dxa"/>
            <w:tcBorders>
              <w:top w:val="nil"/>
              <w:left w:val="single" w:sz="8" w:space="0" w:color="auto"/>
              <w:bottom w:val="single" w:sz="8" w:space="0" w:color="auto"/>
              <w:right w:val="single" w:sz="4" w:space="0" w:color="auto"/>
            </w:tcBorders>
            <w:shd w:val="clear" w:color="000000" w:fill="FFFF00"/>
            <w:vAlign w:val="center"/>
            <w:hideMark/>
          </w:tcPr>
          <w:p w14:paraId="69994417"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8" w:space="0" w:color="auto"/>
              <w:right w:val="single" w:sz="8" w:space="0" w:color="auto"/>
            </w:tcBorders>
            <w:shd w:val="clear" w:color="000000" w:fill="C0C0C0"/>
            <w:vAlign w:val="center"/>
            <w:hideMark/>
          </w:tcPr>
          <w:p w14:paraId="37D61A32" w14:textId="77777777" w:rsidR="00AD1CEA" w:rsidRDefault="00AD1CEA">
            <w:pPr>
              <w:rPr>
                <w:rFonts w:ascii="Calibri" w:hAnsi="Calibri" w:cs="Calibri"/>
                <w:sz w:val="22"/>
                <w:szCs w:val="22"/>
              </w:rPr>
            </w:pPr>
            <w:r>
              <w:rPr>
                <w:rFonts w:ascii="Calibri" w:hAnsi="Calibri" w:cs="Calibri"/>
                <w:sz w:val="22"/>
                <w:szCs w:val="22"/>
              </w:rPr>
              <w:t> </w:t>
            </w:r>
          </w:p>
        </w:tc>
      </w:tr>
      <w:tr w:rsidR="00AD1CEA" w14:paraId="46FC22BA" w14:textId="77777777" w:rsidTr="00B5689E">
        <w:trPr>
          <w:trHeight w:val="300"/>
        </w:trPr>
        <w:tc>
          <w:tcPr>
            <w:tcW w:w="0" w:type="auto"/>
            <w:tcBorders>
              <w:top w:val="nil"/>
              <w:left w:val="single" w:sz="8" w:space="0" w:color="auto"/>
              <w:bottom w:val="nil"/>
              <w:right w:val="nil"/>
            </w:tcBorders>
            <w:shd w:val="clear" w:color="auto" w:fill="auto"/>
            <w:noWrap/>
            <w:hideMark/>
          </w:tcPr>
          <w:p w14:paraId="43BF2631"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nil"/>
              <w:right w:val="nil"/>
            </w:tcBorders>
            <w:shd w:val="clear" w:color="auto" w:fill="auto"/>
            <w:hideMark/>
          </w:tcPr>
          <w:p w14:paraId="172902F1" w14:textId="77777777" w:rsidR="00AD1CEA" w:rsidRDefault="00AD1CEA">
            <w:pPr>
              <w:rPr>
                <w:rFonts w:ascii="Calibri" w:hAnsi="Calibri" w:cs="Calibri"/>
                <w:sz w:val="22"/>
                <w:szCs w:val="22"/>
              </w:rPr>
            </w:pPr>
          </w:p>
        </w:tc>
        <w:tc>
          <w:tcPr>
            <w:tcW w:w="1163" w:type="dxa"/>
            <w:tcBorders>
              <w:top w:val="nil"/>
              <w:left w:val="nil"/>
              <w:bottom w:val="nil"/>
              <w:right w:val="nil"/>
            </w:tcBorders>
            <w:shd w:val="clear" w:color="auto" w:fill="auto"/>
            <w:hideMark/>
          </w:tcPr>
          <w:p w14:paraId="1B628290" w14:textId="77777777" w:rsidR="00AD1CEA" w:rsidRDefault="00AD1CEA">
            <w:pPr>
              <w:rPr>
                <w:sz w:val="20"/>
                <w:szCs w:val="20"/>
              </w:rPr>
            </w:pPr>
          </w:p>
        </w:tc>
        <w:tc>
          <w:tcPr>
            <w:tcW w:w="0" w:type="auto"/>
            <w:tcBorders>
              <w:top w:val="nil"/>
              <w:left w:val="nil"/>
              <w:bottom w:val="nil"/>
              <w:right w:val="single" w:sz="4" w:space="0" w:color="auto"/>
            </w:tcBorders>
            <w:shd w:val="clear" w:color="auto" w:fill="auto"/>
            <w:vAlign w:val="center"/>
            <w:hideMark/>
          </w:tcPr>
          <w:p w14:paraId="2D378BD5"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64E460E" w14:textId="77777777" w:rsidTr="00834D2A">
        <w:trPr>
          <w:trHeight w:val="675"/>
        </w:trPr>
        <w:tc>
          <w:tcPr>
            <w:tcW w:w="5660" w:type="dxa"/>
            <w:gridSpan w:val="2"/>
            <w:tcBorders>
              <w:top w:val="single" w:sz="8" w:space="0" w:color="auto"/>
              <w:left w:val="single" w:sz="8" w:space="0" w:color="auto"/>
              <w:bottom w:val="single" w:sz="4" w:space="0" w:color="auto"/>
              <w:right w:val="single" w:sz="8" w:space="0" w:color="000000"/>
            </w:tcBorders>
            <w:shd w:val="clear" w:color="000000" w:fill="99CCFF"/>
            <w:vAlign w:val="center"/>
            <w:hideMark/>
          </w:tcPr>
          <w:p w14:paraId="51CD03D3" w14:textId="77777777" w:rsidR="00AD1CEA" w:rsidRDefault="00AD1CEA" w:rsidP="00834D2A">
            <w:pPr>
              <w:jc w:val="center"/>
              <w:rPr>
                <w:rFonts w:ascii="Calibri" w:hAnsi="Calibri" w:cs="Calibri"/>
                <w:b/>
                <w:bCs/>
                <w:sz w:val="22"/>
                <w:szCs w:val="22"/>
              </w:rPr>
            </w:pPr>
            <w:r>
              <w:rPr>
                <w:rFonts w:ascii="Calibri" w:hAnsi="Calibri" w:cs="Calibri"/>
                <w:b/>
                <w:bCs/>
                <w:sz w:val="22"/>
                <w:szCs w:val="22"/>
              </w:rPr>
              <w:t>Monitor DSŘ</w:t>
            </w:r>
          </w:p>
        </w:tc>
        <w:tc>
          <w:tcPr>
            <w:tcW w:w="3958" w:type="dxa"/>
            <w:gridSpan w:val="2"/>
            <w:tcBorders>
              <w:top w:val="single" w:sz="8" w:space="0" w:color="auto"/>
              <w:left w:val="nil"/>
              <w:bottom w:val="single" w:sz="4" w:space="0" w:color="auto"/>
              <w:right w:val="single" w:sz="8" w:space="0" w:color="000000"/>
            </w:tcBorders>
            <w:shd w:val="clear" w:color="000000" w:fill="FFFF00"/>
            <w:vAlign w:val="center"/>
            <w:hideMark/>
          </w:tcPr>
          <w:p w14:paraId="41188FB7" w14:textId="77777777" w:rsidR="00AD1CEA" w:rsidRDefault="00AD1CEA">
            <w:pPr>
              <w:jc w:val="center"/>
              <w:rPr>
                <w:rFonts w:ascii="Calibri" w:hAnsi="Calibri" w:cs="Calibri"/>
                <w:b/>
                <w:bCs/>
                <w:sz w:val="22"/>
                <w:szCs w:val="22"/>
              </w:rPr>
            </w:pPr>
            <w:r>
              <w:rPr>
                <w:rFonts w:ascii="Calibri" w:hAnsi="Calibri" w:cs="Calibri"/>
                <w:b/>
                <w:bCs/>
                <w:sz w:val="22"/>
                <w:szCs w:val="22"/>
              </w:rPr>
              <w:t>Dell 32 4K USB-C Hub Monitor - P3223QE - 80.0cm (31.5") (210-BEQZ)</w:t>
            </w:r>
          </w:p>
        </w:tc>
      </w:tr>
      <w:tr w:rsidR="00AD1CEA" w14:paraId="6183C304" w14:textId="77777777" w:rsidTr="00B5689E">
        <w:trPr>
          <w:trHeight w:val="360"/>
        </w:trPr>
        <w:tc>
          <w:tcPr>
            <w:tcW w:w="0" w:type="auto"/>
            <w:tcBorders>
              <w:top w:val="nil"/>
              <w:left w:val="single" w:sz="8" w:space="0" w:color="auto"/>
              <w:bottom w:val="single" w:sz="4" w:space="0" w:color="auto"/>
              <w:right w:val="single" w:sz="4" w:space="0" w:color="auto"/>
            </w:tcBorders>
            <w:shd w:val="clear" w:color="000000" w:fill="99CCFF"/>
            <w:noWrap/>
            <w:vAlign w:val="center"/>
            <w:hideMark/>
          </w:tcPr>
          <w:p w14:paraId="63E27A79" w14:textId="77777777" w:rsidR="00AD1CEA" w:rsidRDefault="00AD1CEA">
            <w:pPr>
              <w:rPr>
                <w:rFonts w:ascii="Calibri" w:hAnsi="Calibri" w:cs="Calibri"/>
                <w:b/>
                <w:bCs/>
                <w:sz w:val="22"/>
                <w:szCs w:val="22"/>
              </w:rPr>
            </w:pPr>
            <w:r>
              <w:rPr>
                <w:rFonts w:ascii="Calibri" w:hAnsi="Calibri" w:cs="Calibri"/>
                <w:b/>
                <w:bCs/>
                <w:sz w:val="22"/>
                <w:szCs w:val="22"/>
              </w:rPr>
              <w:t>Parametr</w:t>
            </w:r>
          </w:p>
        </w:tc>
        <w:tc>
          <w:tcPr>
            <w:tcW w:w="3907" w:type="dxa"/>
            <w:tcBorders>
              <w:top w:val="nil"/>
              <w:left w:val="nil"/>
              <w:bottom w:val="single" w:sz="4" w:space="0" w:color="auto"/>
              <w:right w:val="single" w:sz="8" w:space="0" w:color="auto"/>
            </w:tcBorders>
            <w:shd w:val="clear" w:color="000000" w:fill="99CCFF"/>
            <w:vAlign w:val="center"/>
            <w:hideMark/>
          </w:tcPr>
          <w:p w14:paraId="028169AC" w14:textId="77777777" w:rsidR="00AD1CEA" w:rsidRDefault="00AD1CEA">
            <w:pPr>
              <w:rPr>
                <w:rFonts w:ascii="Calibri" w:hAnsi="Calibri" w:cs="Calibri"/>
                <w:b/>
                <w:bCs/>
                <w:sz w:val="22"/>
                <w:szCs w:val="22"/>
              </w:rPr>
            </w:pPr>
            <w:r>
              <w:rPr>
                <w:rFonts w:ascii="Calibri" w:hAnsi="Calibri" w:cs="Calibri"/>
                <w:b/>
                <w:bCs/>
                <w:sz w:val="22"/>
                <w:szCs w:val="22"/>
              </w:rPr>
              <w:t>Požadavek zadavatele</w:t>
            </w:r>
          </w:p>
        </w:tc>
        <w:tc>
          <w:tcPr>
            <w:tcW w:w="1163" w:type="dxa"/>
            <w:tcBorders>
              <w:top w:val="nil"/>
              <w:left w:val="nil"/>
              <w:bottom w:val="nil"/>
              <w:right w:val="single" w:sz="4" w:space="0" w:color="auto"/>
            </w:tcBorders>
            <w:shd w:val="clear" w:color="000000" w:fill="99CCFF"/>
            <w:noWrap/>
            <w:vAlign w:val="center"/>
            <w:hideMark/>
          </w:tcPr>
          <w:p w14:paraId="39BFACAC" w14:textId="77777777" w:rsidR="00AD1CEA" w:rsidRDefault="00AD1CEA">
            <w:pPr>
              <w:rPr>
                <w:rFonts w:ascii="Calibri" w:hAnsi="Calibri" w:cs="Calibri"/>
                <w:b/>
                <w:bCs/>
                <w:sz w:val="22"/>
                <w:szCs w:val="22"/>
              </w:rPr>
            </w:pPr>
            <w:r>
              <w:rPr>
                <w:rFonts w:ascii="Calibri" w:hAnsi="Calibri" w:cs="Calibri"/>
                <w:b/>
                <w:bCs/>
                <w:sz w:val="22"/>
                <w:szCs w:val="22"/>
              </w:rPr>
              <w:t>Splňuje ANO/NE</w:t>
            </w:r>
          </w:p>
        </w:tc>
        <w:tc>
          <w:tcPr>
            <w:tcW w:w="0" w:type="auto"/>
            <w:tcBorders>
              <w:top w:val="nil"/>
              <w:left w:val="nil"/>
              <w:bottom w:val="nil"/>
              <w:right w:val="single" w:sz="8" w:space="0" w:color="auto"/>
            </w:tcBorders>
            <w:shd w:val="clear" w:color="000000" w:fill="99CCFF"/>
            <w:vAlign w:val="center"/>
            <w:hideMark/>
          </w:tcPr>
          <w:p w14:paraId="09501D61" w14:textId="77777777" w:rsidR="00AD1CEA" w:rsidRDefault="00AD1CEA">
            <w:pPr>
              <w:rPr>
                <w:rFonts w:ascii="Calibri" w:hAnsi="Calibri" w:cs="Calibri"/>
                <w:b/>
                <w:bCs/>
                <w:sz w:val="22"/>
                <w:szCs w:val="22"/>
              </w:rPr>
            </w:pPr>
            <w:r>
              <w:rPr>
                <w:rFonts w:ascii="Calibri" w:hAnsi="Calibri" w:cs="Calibri"/>
                <w:b/>
                <w:bCs/>
                <w:sz w:val="22"/>
                <w:szCs w:val="22"/>
              </w:rPr>
              <w:t>Popis konkrétního splnění požadavku</w:t>
            </w:r>
          </w:p>
        </w:tc>
      </w:tr>
      <w:tr w:rsidR="00AD1CEA" w14:paraId="148CFACB"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16DD53D0" w14:textId="77777777" w:rsidR="00AD1CEA" w:rsidRDefault="00AD1CEA">
            <w:pPr>
              <w:rPr>
                <w:rFonts w:ascii="Calibri" w:hAnsi="Calibri" w:cs="Calibri"/>
                <w:sz w:val="22"/>
                <w:szCs w:val="22"/>
              </w:rPr>
            </w:pPr>
            <w:r>
              <w:rPr>
                <w:rFonts w:ascii="Calibri" w:hAnsi="Calibri" w:cs="Calibri"/>
                <w:sz w:val="22"/>
                <w:szCs w:val="22"/>
              </w:rPr>
              <w:t>Velikost:</w:t>
            </w:r>
          </w:p>
        </w:tc>
        <w:tc>
          <w:tcPr>
            <w:tcW w:w="3907" w:type="dxa"/>
            <w:tcBorders>
              <w:top w:val="nil"/>
              <w:left w:val="nil"/>
              <w:bottom w:val="single" w:sz="4" w:space="0" w:color="auto"/>
              <w:right w:val="single" w:sz="8" w:space="0" w:color="auto"/>
            </w:tcBorders>
            <w:shd w:val="clear" w:color="auto" w:fill="auto"/>
            <w:hideMark/>
          </w:tcPr>
          <w:p w14:paraId="43E5007E" w14:textId="77777777" w:rsidR="00AD1CEA" w:rsidRDefault="00AD1CEA">
            <w:pPr>
              <w:rPr>
                <w:rFonts w:ascii="Calibri" w:hAnsi="Calibri" w:cs="Calibri"/>
                <w:sz w:val="22"/>
                <w:szCs w:val="22"/>
              </w:rPr>
            </w:pPr>
            <w:r>
              <w:rPr>
                <w:rFonts w:ascii="Calibri" w:hAnsi="Calibri" w:cs="Calibri"/>
                <w:sz w:val="22"/>
                <w:szCs w:val="22"/>
              </w:rPr>
              <w:t>Obchodní velikost 30"</w:t>
            </w:r>
            <w:r>
              <w:rPr>
                <w:rFonts w:ascii="Calibri" w:hAnsi="Calibri" w:cs="Calibri"/>
                <w:color w:val="FF0000"/>
                <w:sz w:val="22"/>
                <w:szCs w:val="22"/>
              </w:rPr>
              <w:t xml:space="preserve"> </w:t>
            </w:r>
            <w:r>
              <w:rPr>
                <w:rFonts w:ascii="Calibri" w:hAnsi="Calibri" w:cs="Calibri"/>
                <w:sz w:val="22"/>
                <w:szCs w:val="22"/>
              </w:rPr>
              <w:t xml:space="preserve">- 34" </w:t>
            </w:r>
          </w:p>
        </w:tc>
        <w:tc>
          <w:tcPr>
            <w:tcW w:w="1163" w:type="dxa"/>
            <w:tcBorders>
              <w:top w:val="single" w:sz="4" w:space="0" w:color="auto"/>
              <w:left w:val="nil"/>
              <w:bottom w:val="single" w:sz="4" w:space="0" w:color="auto"/>
              <w:right w:val="single" w:sz="4" w:space="0" w:color="auto"/>
            </w:tcBorders>
            <w:shd w:val="clear" w:color="000000" w:fill="FFFF00"/>
            <w:vAlign w:val="center"/>
            <w:hideMark/>
          </w:tcPr>
          <w:p w14:paraId="4350C8E0"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nil"/>
              <w:bottom w:val="single" w:sz="4" w:space="0" w:color="auto"/>
              <w:right w:val="single" w:sz="8" w:space="0" w:color="auto"/>
            </w:tcBorders>
            <w:shd w:val="clear" w:color="000000" w:fill="FFFF00"/>
            <w:vAlign w:val="center"/>
            <w:hideMark/>
          </w:tcPr>
          <w:p w14:paraId="0D3710D2" w14:textId="77777777" w:rsidR="00AD1CEA" w:rsidRDefault="00AD1CEA">
            <w:pPr>
              <w:rPr>
                <w:rFonts w:ascii="Calibri" w:hAnsi="Calibri" w:cs="Calibri"/>
                <w:sz w:val="22"/>
                <w:szCs w:val="22"/>
              </w:rPr>
            </w:pPr>
            <w:r>
              <w:rPr>
                <w:rFonts w:ascii="Calibri" w:hAnsi="Calibri" w:cs="Calibri"/>
                <w:sz w:val="22"/>
                <w:szCs w:val="22"/>
              </w:rPr>
              <w:t>31,5"</w:t>
            </w:r>
          </w:p>
        </w:tc>
      </w:tr>
      <w:tr w:rsidR="00AD1CEA" w14:paraId="22CB93AD"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noWrap/>
            <w:hideMark/>
          </w:tcPr>
          <w:p w14:paraId="7F7E018D" w14:textId="77777777" w:rsidR="00AD1CEA" w:rsidRDefault="00AD1CEA">
            <w:pPr>
              <w:rPr>
                <w:rFonts w:ascii="Calibri" w:hAnsi="Calibri" w:cs="Calibri"/>
                <w:sz w:val="22"/>
                <w:szCs w:val="22"/>
              </w:rPr>
            </w:pPr>
            <w:r>
              <w:rPr>
                <w:rFonts w:ascii="Calibri" w:hAnsi="Calibri" w:cs="Calibri"/>
                <w:sz w:val="22"/>
                <w:szCs w:val="22"/>
              </w:rPr>
              <w:t>Vlastnosti:</w:t>
            </w:r>
          </w:p>
        </w:tc>
        <w:tc>
          <w:tcPr>
            <w:tcW w:w="3907" w:type="dxa"/>
            <w:tcBorders>
              <w:top w:val="nil"/>
              <w:left w:val="nil"/>
              <w:bottom w:val="single" w:sz="4" w:space="0" w:color="auto"/>
              <w:right w:val="single" w:sz="8" w:space="0" w:color="auto"/>
            </w:tcBorders>
            <w:shd w:val="clear" w:color="auto" w:fill="auto"/>
            <w:hideMark/>
          </w:tcPr>
          <w:p w14:paraId="200E8D30" w14:textId="77777777" w:rsidR="00AD1CEA" w:rsidRDefault="00AD1CEA">
            <w:pPr>
              <w:rPr>
                <w:rFonts w:ascii="Calibri" w:hAnsi="Calibri" w:cs="Calibri"/>
                <w:sz w:val="22"/>
                <w:szCs w:val="22"/>
              </w:rPr>
            </w:pPr>
            <w:r>
              <w:rPr>
                <w:rFonts w:ascii="Calibri" w:hAnsi="Calibri" w:cs="Calibri"/>
                <w:sz w:val="22"/>
                <w:szCs w:val="22"/>
              </w:rPr>
              <w:t>Matný povrch zobrazovací plochy, vertikální a horizontální polohovatelnost, funkce pivot, redukce modrého světla</w:t>
            </w:r>
          </w:p>
        </w:tc>
        <w:tc>
          <w:tcPr>
            <w:tcW w:w="1163" w:type="dxa"/>
            <w:tcBorders>
              <w:top w:val="nil"/>
              <w:left w:val="nil"/>
              <w:bottom w:val="single" w:sz="4" w:space="0" w:color="auto"/>
              <w:right w:val="single" w:sz="4" w:space="0" w:color="auto"/>
            </w:tcBorders>
            <w:shd w:val="clear" w:color="000000" w:fill="FFFF00"/>
            <w:vAlign w:val="center"/>
            <w:hideMark/>
          </w:tcPr>
          <w:p w14:paraId="694B33C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050EC5EC"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67C8A81"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76ED1C60"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single" w:sz="8" w:space="0" w:color="auto"/>
            </w:tcBorders>
            <w:shd w:val="clear" w:color="auto" w:fill="auto"/>
            <w:hideMark/>
          </w:tcPr>
          <w:p w14:paraId="0166887D" w14:textId="77777777" w:rsidR="00AD1CEA" w:rsidRDefault="00AD1CEA">
            <w:pPr>
              <w:rPr>
                <w:rFonts w:ascii="Calibri" w:hAnsi="Calibri" w:cs="Calibri"/>
                <w:sz w:val="22"/>
                <w:szCs w:val="22"/>
              </w:rPr>
            </w:pPr>
            <w:r>
              <w:rPr>
                <w:rFonts w:ascii="Calibri" w:hAnsi="Calibri" w:cs="Calibri"/>
                <w:sz w:val="22"/>
                <w:szCs w:val="22"/>
              </w:rPr>
              <w:t>Výškově stavitelný</w:t>
            </w:r>
          </w:p>
        </w:tc>
        <w:tc>
          <w:tcPr>
            <w:tcW w:w="1163" w:type="dxa"/>
            <w:tcBorders>
              <w:top w:val="nil"/>
              <w:left w:val="nil"/>
              <w:bottom w:val="single" w:sz="4" w:space="0" w:color="auto"/>
              <w:right w:val="single" w:sz="4" w:space="0" w:color="auto"/>
            </w:tcBorders>
            <w:shd w:val="clear" w:color="000000" w:fill="FFFF00"/>
            <w:vAlign w:val="center"/>
            <w:hideMark/>
          </w:tcPr>
          <w:p w14:paraId="558ECF64"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2B72112"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2764B67"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12DA3DF9"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single" w:sz="8" w:space="0" w:color="auto"/>
            </w:tcBorders>
            <w:shd w:val="clear" w:color="auto" w:fill="auto"/>
            <w:hideMark/>
          </w:tcPr>
          <w:p w14:paraId="59883B65" w14:textId="77777777" w:rsidR="00AD1CEA" w:rsidRDefault="00AD1CEA">
            <w:pPr>
              <w:rPr>
                <w:rFonts w:ascii="Calibri" w:hAnsi="Calibri" w:cs="Calibri"/>
                <w:sz w:val="22"/>
                <w:szCs w:val="22"/>
              </w:rPr>
            </w:pPr>
            <w:r>
              <w:rPr>
                <w:rFonts w:ascii="Calibri" w:hAnsi="Calibri" w:cs="Calibri"/>
                <w:sz w:val="22"/>
                <w:szCs w:val="22"/>
              </w:rPr>
              <w:t>Nastavení náklonu (přední - zadní), min- -5/+20 stupňů</w:t>
            </w:r>
          </w:p>
        </w:tc>
        <w:tc>
          <w:tcPr>
            <w:tcW w:w="1163" w:type="dxa"/>
            <w:tcBorders>
              <w:top w:val="nil"/>
              <w:left w:val="nil"/>
              <w:bottom w:val="single" w:sz="4" w:space="0" w:color="auto"/>
              <w:right w:val="single" w:sz="4" w:space="0" w:color="auto"/>
            </w:tcBorders>
            <w:shd w:val="clear" w:color="000000" w:fill="FFFF00"/>
            <w:vAlign w:val="center"/>
            <w:hideMark/>
          </w:tcPr>
          <w:p w14:paraId="5A5B658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F531C6C"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759C516"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7F37851B" w14:textId="77777777" w:rsidR="00AD1CEA" w:rsidRDefault="00AD1CEA">
            <w:pPr>
              <w:rPr>
                <w:rFonts w:ascii="Calibri" w:hAnsi="Calibri" w:cs="Calibri"/>
                <w:sz w:val="22"/>
                <w:szCs w:val="22"/>
              </w:rPr>
            </w:pPr>
            <w:r>
              <w:rPr>
                <w:rFonts w:ascii="Calibri" w:hAnsi="Calibri" w:cs="Calibri"/>
                <w:sz w:val="22"/>
                <w:szCs w:val="22"/>
              </w:rPr>
              <w:t>Rozlišení:</w:t>
            </w:r>
          </w:p>
        </w:tc>
        <w:tc>
          <w:tcPr>
            <w:tcW w:w="3907" w:type="dxa"/>
            <w:tcBorders>
              <w:top w:val="nil"/>
              <w:left w:val="nil"/>
              <w:bottom w:val="single" w:sz="4" w:space="0" w:color="auto"/>
              <w:right w:val="single" w:sz="8" w:space="0" w:color="auto"/>
            </w:tcBorders>
            <w:shd w:val="clear" w:color="auto" w:fill="auto"/>
            <w:hideMark/>
          </w:tcPr>
          <w:p w14:paraId="0FFA6315" w14:textId="77777777" w:rsidR="00AD1CEA" w:rsidRDefault="00AD1CEA">
            <w:pPr>
              <w:rPr>
                <w:rFonts w:ascii="Calibri" w:hAnsi="Calibri" w:cs="Calibri"/>
                <w:sz w:val="22"/>
                <w:szCs w:val="22"/>
              </w:rPr>
            </w:pPr>
            <w:r>
              <w:rPr>
                <w:rFonts w:ascii="Calibri" w:hAnsi="Calibri" w:cs="Calibri"/>
                <w:sz w:val="22"/>
                <w:szCs w:val="22"/>
              </w:rPr>
              <w:t>Min. 4K (3840 × 2160)</w:t>
            </w:r>
          </w:p>
        </w:tc>
        <w:tc>
          <w:tcPr>
            <w:tcW w:w="1163" w:type="dxa"/>
            <w:tcBorders>
              <w:top w:val="nil"/>
              <w:left w:val="nil"/>
              <w:bottom w:val="single" w:sz="4" w:space="0" w:color="auto"/>
              <w:right w:val="single" w:sz="4" w:space="0" w:color="auto"/>
            </w:tcBorders>
            <w:shd w:val="clear" w:color="000000" w:fill="FFFF00"/>
            <w:vAlign w:val="center"/>
            <w:hideMark/>
          </w:tcPr>
          <w:p w14:paraId="13B7E34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10974C60"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16980F0" w14:textId="77777777" w:rsidTr="00B5689E">
        <w:trPr>
          <w:trHeight w:val="600"/>
        </w:trPr>
        <w:tc>
          <w:tcPr>
            <w:tcW w:w="0" w:type="auto"/>
            <w:tcBorders>
              <w:top w:val="nil"/>
              <w:left w:val="single" w:sz="8" w:space="0" w:color="auto"/>
              <w:bottom w:val="single" w:sz="4" w:space="0" w:color="auto"/>
              <w:right w:val="single" w:sz="4" w:space="0" w:color="auto"/>
            </w:tcBorders>
            <w:shd w:val="clear" w:color="auto" w:fill="auto"/>
            <w:noWrap/>
            <w:hideMark/>
          </w:tcPr>
          <w:p w14:paraId="69EA9809" w14:textId="77777777" w:rsidR="00AD1CEA" w:rsidRDefault="00AD1CEA">
            <w:pPr>
              <w:rPr>
                <w:rFonts w:ascii="Calibri" w:hAnsi="Calibri" w:cs="Calibri"/>
                <w:sz w:val="22"/>
                <w:szCs w:val="22"/>
              </w:rPr>
            </w:pPr>
            <w:r>
              <w:rPr>
                <w:rFonts w:ascii="Calibri" w:hAnsi="Calibri" w:cs="Calibri"/>
                <w:sz w:val="22"/>
                <w:szCs w:val="22"/>
              </w:rPr>
              <w:t>Typ:</w:t>
            </w:r>
          </w:p>
        </w:tc>
        <w:tc>
          <w:tcPr>
            <w:tcW w:w="3907" w:type="dxa"/>
            <w:tcBorders>
              <w:top w:val="nil"/>
              <w:left w:val="nil"/>
              <w:bottom w:val="single" w:sz="4" w:space="0" w:color="auto"/>
              <w:right w:val="single" w:sz="8" w:space="0" w:color="auto"/>
            </w:tcBorders>
            <w:shd w:val="clear" w:color="auto" w:fill="auto"/>
            <w:hideMark/>
          </w:tcPr>
          <w:p w14:paraId="67D77034" w14:textId="77777777" w:rsidR="00AD1CEA" w:rsidRDefault="00AD1CEA">
            <w:pPr>
              <w:rPr>
                <w:rFonts w:ascii="Calibri" w:hAnsi="Calibri" w:cs="Calibri"/>
                <w:sz w:val="22"/>
                <w:szCs w:val="22"/>
              </w:rPr>
            </w:pPr>
            <w:r>
              <w:rPr>
                <w:rFonts w:ascii="Calibri" w:hAnsi="Calibri" w:cs="Calibri"/>
                <w:sz w:val="22"/>
                <w:szCs w:val="22"/>
              </w:rPr>
              <w:t>Podsvícení LED, pozorovací úhel minimálně 178° vodorovně i svisle</w:t>
            </w:r>
          </w:p>
        </w:tc>
        <w:tc>
          <w:tcPr>
            <w:tcW w:w="1163" w:type="dxa"/>
            <w:tcBorders>
              <w:top w:val="nil"/>
              <w:left w:val="nil"/>
              <w:bottom w:val="single" w:sz="4" w:space="0" w:color="auto"/>
              <w:right w:val="single" w:sz="4" w:space="0" w:color="auto"/>
            </w:tcBorders>
            <w:shd w:val="clear" w:color="000000" w:fill="FFFF00"/>
            <w:vAlign w:val="center"/>
            <w:hideMark/>
          </w:tcPr>
          <w:p w14:paraId="4EF85A0D"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8A3726D"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84DCB4A"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678439A6"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single" w:sz="8" w:space="0" w:color="auto"/>
            </w:tcBorders>
            <w:shd w:val="clear" w:color="auto" w:fill="auto"/>
            <w:hideMark/>
          </w:tcPr>
          <w:p w14:paraId="56A47390" w14:textId="77777777" w:rsidR="00AD1CEA" w:rsidRDefault="00AD1CEA">
            <w:pPr>
              <w:rPr>
                <w:rFonts w:ascii="Calibri" w:hAnsi="Calibri" w:cs="Calibri"/>
                <w:sz w:val="22"/>
                <w:szCs w:val="22"/>
              </w:rPr>
            </w:pPr>
            <w:r>
              <w:rPr>
                <w:rFonts w:ascii="Calibri" w:hAnsi="Calibri" w:cs="Calibri"/>
                <w:sz w:val="22"/>
                <w:szCs w:val="22"/>
              </w:rPr>
              <w:t>IPS, LED , OLED nebo MiniLED</w:t>
            </w:r>
          </w:p>
        </w:tc>
        <w:tc>
          <w:tcPr>
            <w:tcW w:w="1163" w:type="dxa"/>
            <w:tcBorders>
              <w:top w:val="nil"/>
              <w:left w:val="nil"/>
              <w:bottom w:val="single" w:sz="4" w:space="0" w:color="auto"/>
              <w:right w:val="single" w:sz="4" w:space="0" w:color="auto"/>
            </w:tcBorders>
            <w:shd w:val="clear" w:color="000000" w:fill="FFFF00"/>
            <w:vAlign w:val="center"/>
            <w:hideMark/>
          </w:tcPr>
          <w:p w14:paraId="7DF2487B"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52D38979"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3CB2287" w14:textId="77777777" w:rsidTr="00B5689E">
        <w:trPr>
          <w:trHeight w:val="345"/>
        </w:trPr>
        <w:tc>
          <w:tcPr>
            <w:tcW w:w="0" w:type="auto"/>
            <w:tcBorders>
              <w:top w:val="nil"/>
              <w:left w:val="single" w:sz="8" w:space="0" w:color="auto"/>
              <w:bottom w:val="single" w:sz="4" w:space="0" w:color="auto"/>
              <w:right w:val="single" w:sz="4" w:space="0" w:color="auto"/>
            </w:tcBorders>
            <w:shd w:val="clear" w:color="auto" w:fill="auto"/>
            <w:noWrap/>
            <w:hideMark/>
          </w:tcPr>
          <w:p w14:paraId="7B7C91AC" w14:textId="77777777" w:rsidR="00AD1CEA" w:rsidRDefault="00AD1CEA">
            <w:pPr>
              <w:rPr>
                <w:rFonts w:ascii="Calibri" w:hAnsi="Calibri" w:cs="Calibri"/>
                <w:sz w:val="22"/>
                <w:szCs w:val="22"/>
              </w:rPr>
            </w:pPr>
            <w:r>
              <w:rPr>
                <w:rFonts w:ascii="Calibri" w:hAnsi="Calibri" w:cs="Calibri"/>
                <w:sz w:val="22"/>
                <w:szCs w:val="22"/>
              </w:rPr>
              <w:t>Jas:</w:t>
            </w:r>
          </w:p>
        </w:tc>
        <w:tc>
          <w:tcPr>
            <w:tcW w:w="3907" w:type="dxa"/>
            <w:tcBorders>
              <w:top w:val="nil"/>
              <w:left w:val="nil"/>
              <w:bottom w:val="single" w:sz="4" w:space="0" w:color="auto"/>
              <w:right w:val="single" w:sz="8" w:space="0" w:color="auto"/>
            </w:tcBorders>
            <w:shd w:val="clear" w:color="auto" w:fill="auto"/>
            <w:hideMark/>
          </w:tcPr>
          <w:p w14:paraId="74ED71BC" w14:textId="77777777" w:rsidR="00AD1CEA" w:rsidRDefault="00AD1CEA">
            <w:pPr>
              <w:rPr>
                <w:rFonts w:ascii="Calibri" w:hAnsi="Calibri" w:cs="Calibri"/>
                <w:sz w:val="22"/>
                <w:szCs w:val="22"/>
              </w:rPr>
            </w:pPr>
            <w:r>
              <w:rPr>
                <w:rFonts w:ascii="Calibri" w:hAnsi="Calibri" w:cs="Calibri"/>
                <w:sz w:val="22"/>
                <w:szCs w:val="22"/>
              </w:rPr>
              <w:t>Minimálně 300 cd/m</w:t>
            </w:r>
            <w:r>
              <w:rPr>
                <w:rFonts w:ascii="Calibri" w:hAnsi="Calibri" w:cs="Calibri"/>
                <w:sz w:val="22"/>
                <w:szCs w:val="22"/>
                <w:vertAlign w:val="superscript"/>
              </w:rPr>
              <w:t>2</w:t>
            </w:r>
          </w:p>
        </w:tc>
        <w:tc>
          <w:tcPr>
            <w:tcW w:w="1163" w:type="dxa"/>
            <w:tcBorders>
              <w:top w:val="nil"/>
              <w:left w:val="nil"/>
              <w:bottom w:val="single" w:sz="4" w:space="0" w:color="auto"/>
              <w:right w:val="single" w:sz="4" w:space="0" w:color="auto"/>
            </w:tcBorders>
            <w:shd w:val="clear" w:color="000000" w:fill="FFFF00"/>
            <w:vAlign w:val="center"/>
            <w:hideMark/>
          </w:tcPr>
          <w:p w14:paraId="54313C0C"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FD970D9"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5E4FC52"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32F86BE3" w14:textId="77777777" w:rsidR="00AD1CEA" w:rsidRDefault="00AD1CEA">
            <w:pPr>
              <w:rPr>
                <w:rFonts w:ascii="Calibri" w:hAnsi="Calibri" w:cs="Calibri"/>
                <w:sz w:val="22"/>
                <w:szCs w:val="22"/>
              </w:rPr>
            </w:pPr>
            <w:r>
              <w:rPr>
                <w:rFonts w:ascii="Calibri" w:hAnsi="Calibri" w:cs="Calibri"/>
                <w:sz w:val="22"/>
                <w:szCs w:val="22"/>
              </w:rPr>
              <w:t>Doba odezvy:</w:t>
            </w:r>
          </w:p>
        </w:tc>
        <w:tc>
          <w:tcPr>
            <w:tcW w:w="3907" w:type="dxa"/>
            <w:tcBorders>
              <w:top w:val="nil"/>
              <w:left w:val="nil"/>
              <w:bottom w:val="single" w:sz="4" w:space="0" w:color="auto"/>
              <w:right w:val="single" w:sz="8" w:space="0" w:color="auto"/>
            </w:tcBorders>
            <w:shd w:val="clear" w:color="auto" w:fill="auto"/>
            <w:hideMark/>
          </w:tcPr>
          <w:p w14:paraId="7F4FAAF1" w14:textId="77777777" w:rsidR="00AD1CEA" w:rsidRDefault="00AD1CEA">
            <w:pPr>
              <w:rPr>
                <w:rFonts w:ascii="Calibri" w:hAnsi="Calibri" w:cs="Calibri"/>
                <w:sz w:val="22"/>
                <w:szCs w:val="22"/>
              </w:rPr>
            </w:pPr>
            <w:r>
              <w:rPr>
                <w:rFonts w:ascii="Calibri" w:hAnsi="Calibri" w:cs="Calibri"/>
                <w:sz w:val="22"/>
                <w:szCs w:val="22"/>
              </w:rPr>
              <w:t>Max. 8 ms</w:t>
            </w:r>
          </w:p>
        </w:tc>
        <w:tc>
          <w:tcPr>
            <w:tcW w:w="1163" w:type="dxa"/>
            <w:tcBorders>
              <w:top w:val="nil"/>
              <w:left w:val="nil"/>
              <w:bottom w:val="single" w:sz="4" w:space="0" w:color="auto"/>
              <w:right w:val="single" w:sz="4" w:space="0" w:color="auto"/>
            </w:tcBorders>
            <w:shd w:val="clear" w:color="000000" w:fill="FFFF00"/>
            <w:vAlign w:val="center"/>
            <w:hideMark/>
          </w:tcPr>
          <w:p w14:paraId="2E5DEAB2"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64016DFA" w14:textId="77777777" w:rsidR="00AD1CEA" w:rsidRDefault="00AD1CEA">
            <w:pPr>
              <w:rPr>
                <w:rFonts w:ascii="Calibri" w:hAnsi="Calibri" w:cs="Calibri"/>
                <w:sz w:val="22"/>
                <w:szCs w:val="22"/>
              </w:rPr>
            </w:pPr>
            <w:r>
              <w:rPr>
                <w:rFonts w:ascii="Calibri" w:hAnsi="Calibri" w:cs="Calibri"/>
                <w:sz w:val="22"/>
                <w:szCs w:val="22"/>
              </w:rPr>
              <w:t> </w:t>
            </w:r>
          </w:p>
        </w:tc>
      </w:tr>
      <w:tr w:rsidR="00AD1CEA" w14:paraId="3338560A"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5CB089DD" w14:textId="77777777" w:rsidR="00AD1CEA" w:rsidRDefault="00AD1CEA">
            <w:pPr>
              <w:rPr>
                <w:rFonts w:ascii="Calibri" w:hAnsi="Calibri" w:cs="Calibri"/>
                <w:sz w:val="22"/>
                <w:szCs w:val="22"/>
              </w:rPr>
            </w:pPr>
            <w:r>
              <w:rPr>
                <w:rFonts w:ascii="Calibri" w:hAnsi="Calibri" w:cs="Calibri"/>
                <w:sz w:val="22"/>
                <w:szCs w:val="22"/>
              </w:rPr>
              <w:t>Kontrast:</w:t>
            </w:r>
          </w:p>
        </w:tc>
        <w:tc>
          <w:tcPr>
            <w:tcW w:w="3907" w:type="dxa"/>
            <w:tcBorders>
              <w:top w:val="nil"/>
              <w:left w:val="nil"/>
              <w:bottom w:val="single" w:sz="4" w:space="0" w:color="auto"/>
              <w:right w:val="single" w:sz="8" w:space="0" w:color="auto"/>
            </w:tcBorders>
            <w:shd w:val="clear" w:color="auto" w:fill="auto"/>
            <w:hideMark/>
          </w:tcPr>
          <w:p w14:paraId="7BA5C656" w14:textId="77777777" w:rsidR="00AD1CEA" w:rsidRDefault="00AD1CEA">
            <w:pPr>
              <w:rPr>
                <w:rFonts w:ascii="Calibri" w:hAnsi="Calibri" w:cs="Calibri"/>
                <w:sz w:val="22"/>
                <w:szCs w:val="22"/>
              </w:rPr>
            </w:pPr>
            <w:r>
              <w:rPr>
                <w:rFonts w:ascii="Calibri" w:hAnsi="Calibri" w:cs="Calibri"/>
                <w:sz w:val="22"/>
                <w:szCs w:val="22"/>
              </w:rPr>
              <w:t>Statický kontrast (typický) minimálně 1000:1</w:t>
            </w:r>
          </w:p>
        </w:tc>
        <w:tc>
          <w:tcPr>
            <w:tcW w:w="1163" w:type="dxa"/>
            <w:tcBorders>
              <w:top w:val="nil"/>
              <w:left w:val="nil"/>
              <w:bottom w:val="single" w:sz="4" w:space="0" w:color="auto"/>
              <w:right w:val="single" w:sz="4" w:space="0" w:color="auto"/>
            </w:tcBorders>
            <w:shd w:val="clear" w:color="000000" w:fill="FFFF00"/>
            <w:vAlign w:val="center"/>
            <w:hideMark/>
          </w:tcPr>
          <w:p w14:paraId="21B6D664"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E4B8B9F"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8B0DED6"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hideMark/>
          </w:tcPr>
          <w:p w14:paraId="13497A1A"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single" w:sz="8" w:space="0" w:color="auto"/>
            </w:tcBorders>
            <w:shd w:val="clear" w:color="auto" w:fill="auto"/>
            <w:hideMark/>
          </w:tcPr>
          <w:p w14:paraId="04DE0154" w14:textId="77777777" w:rsidR="00AD1CEA" w:rsidRDefault="00AD1CEA">
            <w:pPr>
              <w:rPr>
                <w:rFonts w:ascii="Calibri" w:hAnsi="Calibri" w:cs="Calibri"/>
                <w:sz w:val="22"/>
                <w:szCs w:val="22"/>
              </w:rPr>
            </w:pPr>
            <w:r>
              <w:rPr>
                <w:rFonts w:ascii="Calibri" w:hAnsi="Calibri" w:cs="Calibri"/>
                <w:sz w:val="22"/>
                <w:szCs w:val="22"/>
              </w:rPr>
              <w:t>Minimálně 1x digitální vstup HDMI a 1x DisplayPort</w:t>
            </w:r>
          </w:p>
        </w:tc>
        <w:tc>
          <w:tcPr>
            <w:tcW w:w="1163" w:type="dxa"/>
            <w:tcBorders>
              <w:top w:val="nil"/>
              <w:left w:val="nil"/>
              <w:bottom w:val="single" w:sz="4" w:space="0" w:color="auto"/>
              <w:right w:val="single" w:sz="4" w:space="0" w:color="auto"/>
            </w:tcBorders>
            <w:shd w:val="clear" w:color="000000" w:fill="FFFF00"/>
            <w:vAlign w:val="center"/>
            <w:hideMark/>
          </w:tcPr>
          <w:p w14:paraId="53E5AABD"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CD3E97B" w14:textId="77777777" w:rsidR="00AD1CEA" w:rsidRDefault="00AD1CEA">
            <w:pPr>
              <w:rPr>
                <w:rFonts w:ascii="Calibri" w:hAnsi="Calibri" w:cs="Calibri"/>
                <w:sz w:val="22"/>
                <w:szCs w:val="22"/>
              </w:rPr>
            </w:pPr>
            <w:r>
              <w:rPr>
                <w:rFonts w:ascii="Calibri" w:hAnsi="Calibri" w:cs="Calibri"/>
                <w:sz w:val="22"/>
                <w:szCs w:val="22"/>
              </w:rPr>
              <w:t> </w:t>
            </w:r>
          </w:p>
        </w:tc>
      </w:tr>
      <w:tr w:rsidR="00AD1CEA" w14:paraId="705F0865" w14:textId="77777777" w:rsidTr="00B5689E">
        <w:trPr>
          <w:trHeight w:val="900"/>
        </w:trPr>
        <w:tc>
          <w:tcPr>
            <w:tcW w:w="0" w:type="auto"/>
            <w:tcBorders>
              <w:top w:val="nil"/>
              <w:left w:val="single" w:sz="8" w:space="0" w:color="auto"/>
              <w:bottom w:val="single" w:sz="4" w:space="0" w:color="auto"/>
              <w:right w:val="single" w:sz="4" w:space="0" w:color="auto"/>
            </w:tcBorders>
            <w:shd w:val="clear" w:color="auto" w:fill="auto"/>
            <w:hideMark/>
          </w:tcPr>
          <w:p w14:paraId="146198B4" w14:textId="77777777" w:rsidR="00AD1CEA" w:rsidRDefault="00AD1CEA">
            <w:pPr>
              <w:rPr>
                <w:rFonts w:ascii="Calibri" w:hAnsi="Calibri" w:cs="Calibri"/>
                <w:sz w:val="22"/>
                <w:szCs w:val="22"/>
              </w:rPr>
            </w:pPr>
            <w:r>
              <w:rPr>
                <w:rFonts w:ascii="Calibri" w:hAnsi="Calibri" w:cs="Calibri"/>
                <w:sz w:val="22"/>
                <w:szCs w:val="22"/>
              </w:rPr>
              <w:t>Přenos digitálního video a audio signálu:</w:t>
            </w:r>
          </w:p>
        </w:tc>
        <w:tc>
          <w:tcPr>
            <w:tcW w:w="3907" w:type="dxa"/>
            <w:tcBorders>
              <w:top w:val="nil"/>
              <w:left w:val="nil"/>
              <w:bottom w:val="single" w:sz="4" w:space="0" w:color="auto"/>
              <w:right w:val="single" w:sz="8" w:space="0" w:color="auto"/>
            </w:tcBorders>
            <w:shd w:val="clear" w:color="000000" w:fill="FFFFFF"/>
            <w:hideMark/>
          </w:tcPr>
          <w:p w14:paraId="7F2BE683" w14:textId="77777777" w:rsidR="00AD1CEA" w:rsidRDefault="00AD1CEA">
            <w:pPr>
              <w:rPr>
                <w:rFonts w:ascii="Calibri" w:hAnsi="Calibri" w:cs="Calibri"/>
                <w:sz w:val="22"/>
                <w:szCs w:val="22"/>
              </w:rPr>
            </w:pPr>
            <w:r>
              <w:rPr>
                <w:rFonts w:ascii="Calibri" w:hAnsi="Calibri" w:cs="Calibri"/>
                <w:sz w:val="22"/>
                <w:szCs w:val="22"/>
              </w:rPr>
              <w:t>Součástí dodávky jsou propojovací kabely mezi nabízenou dokovací stanicí a dvěma monitory DSŘ, pokud jsou nezbytné (bez redukce)</w:t>
            </w:r>
          </w:p>
        </w:tc>
        <w:tc>
          <w:tcPr>
            <w:tcW w:w="1163" w:type="dxa"/>
            <w:tcBorders>
              <w:top w:val="nil"/>
              <w:left w:val="nil"/>
              <w:bottom w:val="single" w:sz="4" w:space="0" w:color="auto"/>
              <w:right w:val="single" w:sz="4" w:space="0" w:color="auto"/>
            </w:tcBorders>
            <w:shd w:val="clear" w:color="000000" w:fill="FFFF00"/>
            <w:vAlign w:val="center"/>
            <w:hideMark/>
          </w:tcPr>
          <w:p w14:paraId="5237277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28F23EC6" w14:textId="77777777" w:rsidR="00AD1CEA" w:rsidRDefault="00AD1CEA">
            <w:pPr>
              <w:rPr>
                <w:rFonts w:ascii="Calibri" w:hAnsi="Calibri" w:cs="Calibri"/>
                <w:sz w:val="22"/>
                <w:szCs w:val="22"/>
              </w:rPr>
            </w:pPr>
            <w:r>
              <w:rPr>
                <w:rFonts w:ascii="Calibri" w:hAnsi="Calibri" w:cs="Calibri"/>
                <w:sz w:val="22"/>
                <w:szCs w:val="22"/>
              </w:rPr>
              <w:t> </w:t>
            </w:r>
          </w:p>
        </w:tc>
      </w:tr>
      <w:tr w:rsidR="00AD1CEA" w14:paraId="003713CD" w14:textId="77777777" w:rsidTr="00B5689E">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8D1FC10" w14:textId="77777777" w:rsidR="00AD1CEA" w:rsidRDefault="00AD1CEA">
            <w:pPr>
              <w:rPr>
                <w:rFonts w:ascii="Calibri" w:hAnsi="Calibri" w:cs="Calibri"/>
                <w:sz w:val="22"/>
                <w:szCs w:val="22"/>
              </w:rPr>
            </w:pPr>
            <w:r>
              <w:rPr>
                <w:rFonts w:ascii="Calibri" w:hAnsi="Calibri" w:cs="Calibri"/>
                <w:sz w:val="22"/>
                <w:szCs w:val="22"/>
              </w:rPr>
              <w:t>Příslušenství:</w:t>
            </w:r>
          </w:p>
        </w:tc>
        <w:tc>
          <w:tcPr>
            <w:tcW w:w="3907" w:type="dxa"/>
            <w:tcBorders>
              <w:top w:val="single" w:sz="4" w:space="0" w:color="auto"/>
              <w:left w:val="single" w:sz="4" w:space="0" w:color="auto"/>
              <w:bottom w:val="single" w:sz="4" w:space="0" w:color="auto"/>
              <w:right w:val="single" w:sz="4" w:space="0" w:color="auto"/>
            </w:tcBorders>
            <w:shd w:val="clear" w:color="auto" w:fill="auto"/>
            <w:hideMark/>
          </w:tcPr>
          <w:p w14:paraId="7ABF9E8B" w14:textId="77777777" w:rsidR="00AD1CEA" w:rsidRDefault="00AD1CEA">
            <w:pPr>
              <w:rPr>
                <w:rFonts w:ascii="Calibri" w:hAnsi="Calibri" w:cs="Calibri"/>
                <w:sz w:val="22"/>
                <w:szCs w:val="22"/>
              </w:rPr>
            </w:pPr>
            <w:r>
              <w:rPr>
                <w:rFonts w:ascii="Calibri" w:hAnsi="Calibri" w:cs="Calibri"/>
                <w:sz w:val="22"/>
                <w:szCs w:val="22"/>
              </w:rPr>
              <w:t>Napájecí kabel</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4322532"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32C9BBD1" w14:textId="77777777" w:rsidR="00AD1CEA" w:rsidRDefault="00AD1CEA">
            <w:pPr>
              <w:rPr>
                <w:rFonts w:ascii="Calibri" w:hAnsi="Calibri" w:cs="Calibri"/>
                <w:sz w:val="22"/>
                <w:szCs w:val="22"/>
              </w:rPr>
            </w:pPr>
            <w:r>
              <w:rPr>
                <w:rFonts w:ascii="Calibri" w:hAnsi="Calibri" w:cs="Calibri"/>
                <w:sz w:val="22"/>
                <w:szCs w:val="22"/>
              </w:rPr>
              <w:t> </w:t>
            </w:r>
          </w:p>
        </w:tc>
      </w:tr>
      <w:tr w:rsidR="00AD1CEA" w14:paraId="64EBA91C" w14:textId="77777777" w:rsidTr="00B5689E">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BFF4EE7" w14:textId="77777777" w:rsidR="00AD1CEA" w:rsidRDefault="00AD1CEA">
            <w:pPr>
              <w:rPr>
                <w:rFonts w:ascii="Calibri" w:hAnsi="Calibri" w:cs="Calibri"/>
                <w:sz w:val="22"/>
                <w:szCs w:val="22"/>
              </w:rPr>
            </w:pPr>
            <w:r>
              <w:rPr>
                <w:rFonts w:ascii="Calibri" w:hAnsi="Calibri" w:cs="Calibri"/>
                <w:sz w:val="22"/>
                <w:szCs w:val="22"/>
              </w:rPr>
              <w:t>Záruční podmínky:</w:t>
            </w:r>
          </w:p>
        </w:tc>
        <w:tc>
          <w:tcPr>
            <w:tcW w:w="3907" w:type="dxa"/>
            <w:tcBorders>
              <w:top w:val="nil"/>
              <w:left w:val="nil"/>
              <w:bottom w:val="single" w:sz="4" w:space="0" w:color="auto"/>
              <w:right w:val="single" w:sz="8" w:space="0" w:color="auto"/>
            </w:tcBorders>
            <w:shd w:val="clear" w:color="auto" w:fill="auto"/>
            <w:vAlign w:val="center"/>
            <w:hideMark/>
          </w:tcPr>
          <w:p w14:paraId="6C82CCEF" w14:textId="77777777" w:rsidR="00AD1CEA" w:rsidRDefault="00AD1CEA">
            <w:pPr>
              <w:rPr>
                <w:rFonts w:ascii="Calibri" w:hAnsi="Calibri" w:cs="Calibri"/>
                <w:sz w:val="22"/>
                <w:szCs w:val="22"/>
              </w:rPr>
            </w:pPr>
            <w:r>
              <w:rPr>
                <w:rFonts w:ascii="Calibri" w:hAnsi="Calibri" w:cs="Calibri"/>
                <w:sz w:val="22"/>
                <w:szCs w:val="22"/>
              </w:rPr>
              <w:t>Min. 60 měsíců</w:t>
            </w:r>
          </w:p>
        </w:tc>
        <w:tc>
          <w:tcPr>
            <w:tcW w:w="1163" w:type="dxa"/>
            <w:tcBorders>
              <w:top w:val="nil"/>
              <w:left w:val="nil"/>
              <w:bottom w:val="single" w:sz="4" w:space="0" w:color="auto"/>
              <w:right w:val="single" w:sz="4" w:space="0" w:color="auto"/>
            </w:tcBorders>
            <w:shd w:val="clear" w:color="000000" w:fill="FFFF00"/>
            <w:vAlign w:val="center"/>
            <w:hideMark/>
          </w:tcPr>
          <w:p w14:paraId="70FCCCF4"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FFFF00"/>
            <w:vAlign w:val="center"/>
            <w:hideMark/>
          </w:tcPr>
          <w:p w14:paraId="2D4FAEA5" w14:textId="77777777" w:rsidR="00AD1CEA" w:rsidRDefault="00AD1CEA">
            <w:pPr>
              <w:rPr>
                <w:rFonts w:ascii="Calibri" w:hAnsi="Calibri" w:cs="Calibri"/>
                <w:sz w:val="22"/>
                <w:szCs w:val="22"/>
              </w:rPr>
            </w:pPr>
            <w:r>
              <w:rPr>
                <w:rFonts w:ascii="Calibri" w:hAnsi="Calibri" w:cs="Calibri"/>
                <w:sz w:val="22"/>
                <w:szCs w:val="22"/>
              </w:rPr>
              <w:t>60 měsíců</w:t>
            </w:r>
          </w:p>
        </w:tc>
      </w:tr>
      <w:tr w:rsidR="00AD1CEA" w14:paraId="139AAFF5" w14:textId="77777777" w:rsidTr="00B5689E">
        <w:trPr>
          <w:trHeight w:val="12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387B7" w14:textId="77777777" w:rsidR="00AD1CEA" w:rsidRDefault="00AD1CEA">
            <w:pPr>
              <w:rPr>
                <w:rFonts w:ascii="Calibri" w:hAnsi="Calibri" w:cs="Calibri"/>
                <w:sz w:val="22"/>
                <w:szCs w:val="22"/>
              </w:rPr>
            </w:pPr>
            <w:r>
              <w:rPr>
                <w:rFonts w:ascii="Calibri" w:hAnsi="Calibri" w:cs="Calibri"/>
                <w:sz w:val="22"/>
                <w:szCs w:val="22"/>
              </w:rPr>
              <w:t>Servis:</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A4A93" w14:textId="77777777" w:rsidR="00AD1CEA" w:rsidRDefault="00AD1CEA">
            <w:pPr>
              <w:rPr>
                <w:rFonts w:ascii="Calibri" w:hAnsi="Calibri" w:cs="Calibri"/>
                <w:sz w:val="22"/>
                <w:szCs w:val="22"/>
              </w:rPr>
            </w:pPr>
            <w:r>
              <w:rPr>
                <w:rFonts w:ascii="Calibri" w:hAnsi="Calibri" w:cs="Calibri"/>
                <w:sz w:val="22"/>
                <w:szCs w:val="22"/>
              </w:rPr>
              <w:t>V místě instalace zařízení u zákazníka s ukončením opravy následující pracovní den od jejího nahlášení. Servis prováděný výrobcem či jím autorizovaným subjektem</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64BD41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7614B618" w14:textId="77777777" w:rsidR="00AD1CEA" w:rsidRDefault="00AD1CEA">
            <w:pPr>
              <w:rPr>
                <w:rFonts w:ascii="Calibri" w:hAnsi="Calibri" w:cs="Calibri"/>
                <w:sz w:val="22"/>
                <w:szCs w:val="22"/>
              </w:rPr>
            </w:pPr>
            <w:r>
              <w:rPr>
                <w:rFonts w:ascii="Calibri" w:hAnsi="Calibri" w:cs="Calibri"/>
                <w:sz w:val="22"/>
                <w:szCs w:val="22"/>
              </w:rPr>
              <w:t> </w:t>
            </w:r>
          </w:p>
        </w:tc>
      </w:tr>
      <w:tr w:rsidR="00AD1CEA" w14:paraId="2272DDCD" w14:textId="77777777" w:rsidTr="00834D2A">
        <w:trPr>
          <w:trHeight w:val="600"/>
        </w:trPr>
        <w:tc>
          <w:tcPr>
            <w:tcW w:w="0" w:type="auto"/>
            <w:tcBorders>
              <w:top w:val="nil"/>
              <w:left w:val="single" w:sz="8" w:space="0" w:color="auto"/>
              <w:bottom w:val="single" w:sz="4" w:space="0" w:color="auto"/>
              <w:right w:val="single" w:sz="4" w:space="0" w:color="auto"/>
            </w:tcBorders>
            <w:shd w:val="clear" w:color="auto" w:fill="auto"/>
            <w:noWrap/>
            <w:hideMark/>
          </w:tcPr>
          <w:p w14:paraId="305CF996" w14:textId="77777777" w:rsidR="00AD1CEA" w:rsidRDefault="00AD1CEA">
            <w:pPr>
              <w:rPr>
                <w:rFonts w:ascii="Calibri" w:hAnsi="Calibri" w:cs="Calibri"/>
                <w:sz w:val="22"/>
                <w:szCs w:val="22"/>
              </w:rPr>
            </w:pPr>
            <w:r>
              <w:rPr>
                <w:rFonts w:ascii="Calibri" w:hAnsi="Calibri" w:cs="Calibri"/>
                <w:sz w:val="22"/>
                <w:szCs w:val="22"/>
              </w:rPr>
              <w:t> </w:t>
            </w:r>
          </w:p>
        </w:tc>
        <w:tc>
          <w:tcPr>
            <w:tcW w:w="3907" w:type="dxa"/>
            <w:tcBorders>
              <w:top w:val="nil"/>
              <w:left w:val="nil"/>
              <w:bottom w:val="single" w:sz="4" w:space="0" w:color="auto"/>
              <w:right w:val="single" w:sz="8" w:space="0" w:color="auto"/>
            </w:tcBorders>
            <w:shd w:val="clear" w:color="auto" w:fill="auto"/>
            <w:hideMark/>
          </w:tcPr>
          <w:p w14:paraId="79DFB014" w14:textId="77777777" w:rsidR="00AD1CEA" w:rsidRDefault="00AD1CEA">
            <w:pPr>
              <w:rPr>
                <w:rFonts w:ascii="Calibri" w:hAnsi="Calibri" w:cs="Calibri"/>
                <w:sz w:val="22"/>
                <w:szCs w:val="22"/>
              </w:rPr>
            </w:pPr>
            <w:r>
              <w:rPr>
                <w:rFonts w:ascii="Calibri" w:hAnsi="Calibri" w:cs="Calibri"/>
                <w:sz w:val="22"/>
                <w:szCs w:val="22"/>
              </w:rPr>
              <w:t>Jediné kontaktní místo pro nahlášení poruch pro celou ČR</w:t>
            </w:r>
          </w:p>
        </w:tc>
        <w:tc>
          <w:tcPr>
            <w:tcW w:w="1163" w:type="dxa"/>
            <w:tcBorders>
              <w:top w:val="nil"/>
              <w:left w:val="nil"/>
              <w:bottom w:val="single" w:sz="4" w:space="0" w:color="auto"/>
              <w:right w:val="single" w:sz="4" w:space="0" w:color="auto"/>
            </w:tcBorders>
            <w:shd w:val="clear" w:color="000000" w:fill="FFFF00"/>
            <w:vAlign w:val="center"/>
            <w:hideMark/>
          </w:tcPr>
          <w:p w14:paraId="1572DF23"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2E6FC88" w14:textId="77777777" w:rsidR="00AD1CEA" w:rsidRDefault="00AD1CEA">
            <w:pPr>
              <w:rPr>
                <w:rFonts w:ascii="Calibri" w:hAnsi="Calibri" w:cs="Calibri"/>
                <w:sz w:val="22"/>
                <w:szCs w:val="22"/>
              </w:rPr>
            </w:pPr>
            <w:r>
              <w:rPr>
                <w:rFonts w:ascii="Calibri" w:hAnsi="Calibri" w:cs="Calibri"/>
                <w:sz w:val="22"/>
                <w:szCs w:val="22"/>
              </w:rPr>
              <w:t> </w:t>
            </w:r>
          </w:p>
        </w:tc>
      </w:tr>
      <w:tr w:rsidR="00AD1CEA" w14:paraId="17FF592C" w14:textId="77777777" w:rsidTr="00834D2A">
        <w:trPr>
          <w:trHeight w:val="915"/>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BB3C6A2" w14:textId="77777777" w:rsidR="00AD1CEA" w:rsidRDefault="00AD1CEA">
            <w:pPr>
              <w:rPr>
                <w:rFonts w:ascii="Calibri" w:hAnsi="Calibri" w:cs="Calibri"/>
                <w:sz w:val="22"/>
                <w:szCs w:val="22"/>
              </w:rPr>
            </w:pPr>
            <w:r>
              <w:rPr>
                <w:rFonts w:ascii="Calibri" w:hAnsi="Calibri" w:cs="Calibri"/>
                <w:sz w:val="22"/>
                <w:szCs w:val="22"/>
              </w:rPr>
              <w:lastRenderedPageBreak/>
              <w:t> </w:t>
            </w:r>
          </w:p>
        </w:tc>
        <w:tc>
          <w:tcPr>
            <w:tcW w:w="3907" w:type="dxa"/>
            <w:tcBorders>
              <w:top w:val="single" w:sz="4" w:space="0" w:color="auto"/>
              <w:left w:val="single" w:sz="4" w:space="0" w:color="auto"/>
              <w:bottom w:val="single" w:sz="4" w:space="0" w:color="auto"/>
              <w:right w:val="single" w:sz="4" w:space="0" w:color="auto"/>
            </w:tcBorders>
            <w:shd w:val="clear" w:color="auto" w:fill="auto"/>
            <w:hideMark/>
          </w:tcPr>
          <w:p w14:paraId="2AD8016E" w14:textId="77777777" w:rsidR="00AD1CEA" w:rsidRDefault="00AD1CEA">
            <w:pPr>
              <w:rPr>
                <w:rFonts w:ascii="Calibri" w:hAnsi="Calibri" w:cs="Calibri"/>
                <w:sz w:val="22"/>
                <w:szCs w:val="22"/>
              </w:rPr>
            </w:pPr>
            <w:r>
              <w:rPr>
                <w:rFonts w:ascii="Calibri" w:hAnsi="Calibri" w:cs="Calibri"/>
                <w:sz w:val="22"/>
                <w:szCs w:val="22"/>
              </w:rPr>
              <w:t>Podpora poskytovaná prostřednictvím telefonní linky musí být dostupná v pracovní dny minimálně v době od 9:00 do 16:00 hod.</w:t>
            </w:r>
          </w:p>
        </w:tc>
        <w:tc>
          <w:tcPr>
            <w:tcW w:w="116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BBBA4DD"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28B08C33" w14:textId="77777777" w:rsidR="00AD1CEA" w:rsidRDefault="00AD1CEA">
            <w:pPr>
              <w:rPr>
                <w:rFonts w:ascii="Calibri" w:hAnsi="Calibri" w:cs="Calibri"/>
                <w:sz w:val="22"/>
                <w:szCs w:val="22"/>
              </w:rPr>
            </w:pPr>
            <w:r>
              <w:rPr>
                <w:rFonts w:ascii="Calibri" w:hAnsi="Calibri" w:cs="Calibri"/>
                <w:sz w:val="22"/>
                <w:szCs w:val="22"/>
              </w:rPr>
              <w:t> </w:t>
            </w:r>
          </w:p>
        </w:tc>
      </w:tr>
      <w:tr w:rsidR="00AD1CEA" w14:paraId="5E9F7799" w14:textId="77777777" w:rsidTr="00834D2A">
        <w:trPr>
          <w:trHeight w:val="315"/>
        </w:trPr>
        <w:tc>
          <w:tcPr>
            <w:tcW w:w="0" w:type="auto"/>
            <w:tcBorders>
              <w:top w:val="single" w:sz="4" w:space="0" w:color="auto"/>
              <w:left w:val="nil"/>
              <w:bottom w:val="nil"/>
              <w:right w:val="nil"/>
            </w:tcBorders>
            <w:shd w:val="clear" w:color="auto" w:fill="auto"/>
            <w:noWrap/>
            <w:hideMark/>
          </w:tcPr>
          <w:p w14:paraId="3A0C9BE4" w14:textId="77777777" w:rsidR="00AD1CEA" w:rsidRDefault="00AD1CEA">
            <w:pPr>
              <w:rPr>
                <w:rFonts w:ascii="Calibri" w:hAnsi="Calibri" w:cs="Calibri"/>
                <w:sz w:val="22"/>
                <w:szCs w:val="22"/>
              </w:rPr>
            </w:pPr>
          </w:p>
        </w:tc>
        <w:tc>
          <w:tcPr>
            <w:tcW w:w="3907" w:type="dxa"/>
            <w:tcBorders>
              <w:top w:val="single" w:sz="4" w:space="0" w:color="auto"/>
              <w:left w:val="nil"/>
              <w:bottom w:val="nil"/>
              <w:right w:val="nil"/>
            </w:tcBorders>
            <w:shd w:val="clear" w:color="auto" w:fill="auto"/>
            <w:hideMark/>
          </w:tcPr>
          <w:p w14:paraId="10C5486E" w14:textId="77777777" w:rsidR="00AD1CEA" w:rsidRDefault="00AD1CEA">
            <w:pPr>
              <w:rPr>
                <w:sz w:val="20"/>
                <w:szCs w:val="20"/>
              </w:rPr>
            </w:pPr>
          </w:p>
        </w:tc>
        <w:tc>
          <w:tcPr>
            <w:tcW w:w="1163" w:type="dxa"/>
            <w:tcBorders>
              <w:top w:val="single" w:sz="4" w:space="0" w:color="auto"/>
              <w:left w:val="nil"/>
              <w:bottom w:val="nil"/>
              <w:right w:val="nil"/>
            </w:tcBorders>
            <w:shd w:val="clear" w:color="auto" w:fill="auto"/>
            <w:noWrap/>
            <w:vAlign w:val="bottom"/>
            <w:hideMark/>
          </w:tcPr>
          <w:p w14:paraId="7B786C30" w14:textId="77777777" w:rsidR="00AD1CEA" w:rsidRDefault="00AD1CEA">
            <w:pPr>
              <w:rPr>
                <w:sz w:val="20"/>
                <w:szCs w:val="20"/>
              </w:rPr>
            </w:pPr>
          </w:p>
        </w:tc>
        <w:tc>
          <w:tcPr>
            <w:tcW w:w="0" w:type="auto"/>
            <w:tcBorders>
              <w:top w:val="single" w:sz="4" w:space="0" w:color="auto"/>
              <w:left w:val="nil"/>
              <w:bottom w:val="nil"/>
              <w:right w:val="nil"/>
            </w:tcBorders>
            <w:shd w:val="clear" w:color="auto" w:fill="auto"/>
            <w:noWrap/>
            <w:vAlign w:val="bottom"/>
            <w:hideMark/>
          </w:tcPr>
          <w:p w14:paraId="55DB7189" w14:textId="77777777" w:rsidR="00AD1CEA" w:rsidRDefault="00AD1CEA">
            <w:pPr>
              <w:rPr>
                <w:sz w:val="20"/>
                <w:szCs w:val="20"/>
              </w:rPr>
            </w:pPr>
          </w:p>
        </w:tc>
      </w:tr>
      <w:tr w:rsidR="00AD1CEA" w14:paraId="440DDCFB" w14:textId="77777777" w:rsidTr="00B5689E">
        <w:trPr>
          <w:trHeight w:val="300"/>
        </w:trPr>
        <w:tc>
          <w:tcPr>
            <w:tcW w:w="5660" w:type="dxa"/>
            <w:gridSpan w:val="2"/>
            <w:tcBorders>
              <w:top w:val="single" w:sz="8" w:space="0" w:color="auto"/>
              <w:left w:val="single" w:sz="8" w:space="0" w:color="auto"/>
              <w:bottom w:val="single" w:sz="4" w:space="0" w:color="auto"/>
              <w:right w:val="single" w:sz="4" w:space="0" w:color="auto"/>
            </w:tcBorders>
            <w:shd w:val="clear" w:color="000000" w:fill="99CCFF"/>
            <w:vAlign w:val="center"/>
            <w:hideMark/>
          </w:tcPr>
          <w:p w14:paraId="26BC18D4" w14:textId="77777777" w:rsidR="00AD1CEA" w:rsidRDefault="00AD1CEA">
            <w:pPr>
              <w:jc w:val="center"/>
              <w:rPr>
                <w:rFonts w:ascii="Calibri" w:hAnsi="Calibri" w:cs="Calibri"/>
                <w:b/>
                <w:bCs/>
                <w:sz w:val="22"/>
                <w:szCs w:val="22"/>
              </w:rPr>
            </w:pPr>
            <w:r>
              <w:rPr>
                <w:rFonts w:ascii="Calibri" w:hAnsi="Calibri" w:cs="Calibri"/>
                <w:b/>
                <w:bCs/>
                <w:sz w:val="22"/>
                <w:szCs w:val="22"/>
              </w:rPr>
              <w:t>Společné požadavky</w:t>
            </w:r>
          </w:p>
        </w:tc>
        <w:tc>
          <w:tcPr>
            <w:tcW w:w="3958" w:type="dxa"/>
            <w:gridSpan w:val="2"/>
            <w:tcBorders>
              <w:top w:val="single" w:sz="8" w:space="0" w:color="auto"/>
              <w:left w:val="nil"/>
              <w:bottom w:val="single" w:sz="4" w:space="0" w:color="auto"/>
              <w:right w:val="single" w:sz="8" w:space="0" w:color="000000"/>
            </w:tcBorders>
            <w:shd w:val="clear" w:color="000000" w:fill="BFBFBF"/>
            <w:vAlign w:val="center"/>
            <w:hideMark/>
          </w:tcPr>
          <w:p w14:paraId="1911343E" w14:textId="77777777" w:rsidR="00AD1CEA" w:rsidRDefault="00AD1CEA">
            <w:pPr>
              <w:jc w:val="center"/>
              <w:rPr>
                <w:rFonts w:ascii="Calibri" w:hAnsi="Calibri" w:cs="Calibri"/>
                <w:b/>
                <w:bCs/>
                <w:sz w:val="22"/>
                <w:szCs w:val="22"/>
              </w:rPr>
            </w:pPr>
            <w:r>
              <w:rPr>
                <w:rFonts w:ascii="Calibri" w:hAnsi="Calibri" w:cs="Calibri"/>
                <w:b/>
                <w:bCs/>
                <w:sz w:val="22"/>
                <w:szCs w:val="22"/>
              </w:rPr>
              <w:t> </w:t>
            </w:r>
          </w:p>
        </w:tc>
      </w:tr>
      <w:tr w:rsidR="00AD1CEA" w14:paraId="396AAC46" w14:textId="77777777" w:rsidTr="00B5689E">
        <w:trPr>
          <w:trHeight w:val="300"/>
        </w:trPr>
        <w:tc>
          <w:tcPr>
            <w:tcW w:w="0" w:type="auto"/>
            <w:tcBorders>
              <w:top w:val="nil"/>
              <w:left w:val="single" w:sz="8" w:space="0" w:color="auto"/>
              <w:bottom w:val="single" w:sz="4" w:space="0" w:color="auto"/>
              <w:right w:val="single" w:sz="4" w:space="0" w:color="auto"/>
            </w:tcBorders>
            <w:shd w:val="clear" w:color="000000" w:fill="99CCFF"/>
            <w:noWrap/>
            <w:vAlign w:val="center"/>
            <w:hideMark/>
          </w:tcPr>
          <w:p w14:paraId="62E35456" w14:textId="77777777" w:rsidR="00AD1CEA" w:rsidRDefault="00AD1CEA">
            <w:pPr>
              <w:rPr>
                <w:rFonts w:ascii="Calibri" w:hAnsi="Calibri" w:cs="Calibri"/>
                <w:b/>
                <w:bCs/>
                <w:sz w:val="22"/>
                <w:szCs w:val="22"/>
              </w:rPr>
            </w:pPr>
            <w:r>
              <w:rPr>
                <w:rFonts w:ascii="Calibri" w:hAnsi="Calibri" w:cs="Calibri"/>
                <w:b/>
                <w:bCs/>
                <w:sz w:val="22"/>
                <w:szCs w:val="22"/>
              </w:rPr>
              <w:t>Parametr</w:t>
            </w:r>
          </w:p>
        </w:tc>
        <w:tc>
          <w:tcPr>
            <w:tcW w:w="3907" w:type="dxa"/>
            <w:tcBorders>
              <w:top w:val="nil"/>
              <w:left w:val="nil"/>
              <w:bottom w:val="single" w:sz="4" w:space="0" w:color="auto"/>
              <w:right w:val="single" w:sz="4" w:space="0" w:color="auto"/>
            </w:tcBorders>
            <w:shd w:val="clear" w:color="000000" w:fill="99CCFF"/>
            <w:noWrap/>
            <w:vAlign w:val="center"/>
            <w:hideMark/>
          </w:tcPr>
          <w:p w14:paraId="46274833" w14:textId="77777777" w:rsidR="00AD1CEA" w:rsidRDefault="00AD1CEA">
            <w:pPr>
              <w:rPr>
                <w:rFonts w:ascii="Calibri" w:hAnsi="Calibri" w:cs="Calibri"/>
                <w:b/>
                <w:bCs/>
                <w:sz w:val="22"/>
                <w:szCs w:val="22"/>
              </w:rPr>
            </w:pPr>
            <w:r>
              <w:rPr>
                <w:rFonts w:ascii="Calibri" w:hAnsi="Calibri" w:cs="Calibri"/>
                <w:b/>
                <w:bCs/>
                <w:sz w:val="22"/>
                <w:szCs w:val="22"/>
              </w:rPr>
              <w:t>Požadavek zadavatele</w:t>
            </w:r>
          </w:p>
        </w:tc>
        <w:tc>
          <w:tcPr>
            <w:tcW w:w="1163" w:type="dxa"/>
            <w:tcBorders>
              <w:top w:val="nil"/>
              <w:left w:val="nil"/>
              <w:bottom w:val="single" w:sz="4" w:space="0" w:color="auto"/>
              <w:right w:val="single" w:sz="4" w:space="0" w:color="auto"/>
            </w:tcBorders>
            <w:shd w:val="clear" w:color="000000" w:fill="99CCFF"/>
            <w:noWrap/>
            <w:vAlign w:val="center"/>
            <w:hideMark/>
          </w:tcPr>
          <w:p w14:paraId="6C09A803" w14:textId="77777777" w:rsidR="00AD1CEA" w:rsidRDefault="00AD1CEA">
            <w:pPr>
              <w:rPr>
                <w:rFonts w:ascii="Calibri" w:hAnsi="Calibri" w:cs="Calibri"/>
                <w:b/>
                <w:bCs/>
                <w:sz w:val="22"/>
                <w:szCs w:val="22"/>
              </w:rPr>
            </w:pPr>
            <w:r>
              <w:rPr>
                <w:rFonts w:ascii="Calibri" w:hAnsi="Calibri" w:cs="Calibri"/>
                <w:b/>
                <w:bCs/>
                <w:sz w:val="22"/>
                <w:szCs w:val="22"/>
              </w:rPr>
              <w:t>Splňuje ANO/NE</w:t>
            </w:r>
          </w:p>
        </w:tc>
        <w:tc>
          <w:tcPr>
            <w:tcW w:w="0" w:type="auto"/>
            <w:tcBorders>
              <w:top w:val="nil"/>
              <w:left w:val="nil"/>
              <w:bottom w:val="single" w:sz="4" w:space="0" w:color="auto"/>
              <w:right w:val="single" w:sz="8" w:space="0" w:color="auto"/>
            </w:tcBorders>
            <w:shd w:val="clear" w:color="000000" w:fill="99CCFF"/>
            <w:noWrap/>
            <w:vAlign w:val="center"/>
            <w:hideMark/>
          </w:tcPr>
          <w:p w14:paraId="497F72FA" w14:textId="77777777" w:rsidR="00AD1CEA" w:rsidRDefault="00AD1CEA">
            <w:pPr>
              <w:rPr>
                <w:rFonts w:ascii="Calibri" w:hAnsi="Calibri" w:cs="Calibri"/>
                <w:b/>
                <w:bCs/>
                <w:sz w:val="22"/>
                <w:szCs w:val="22"/>
              </w:rPr>
            </w:pPr>
            <w:r>
              <w:rPr>
                <w:rFonts w:ascii="Calibri" w:hAnsi="Calibri" w:cs="Calibri"/>
                <w:b/>
                <w:bCs/>
                <w:sz w:val="22"/>
                <w:szCs w:val="22"/>
              </w:rPr>
              <w:t>Popis konkrétního splnění požadavku</w:t>
            </w:r>
          </w:p>
        </w:tc>
      </w:tr>
      <w:tr w:rsidR="00AD1CEA" w14:paraId="616AB16C" w14:textId="77777777" w:rsidTr="00B5689E">
        <w:trPr>
          <w:trHeight w:val="180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C5FCFE6" w14:textId="77777777" w:rsidR="00AD1CEA" w:rsidRDefault="00AD1CEA">
            <w:pPr>
              <w:rPr>
                <w:rFonts w:ascii="Calibri" w:hAnsi="Calibri" w:cs="Calibri"/>
                <w:sz w:val="22"/>
                <w:szCs w:val="22"/>
              </w:rPr>
            </w:pPr>
            <w:r>
              <w:rPr>
                <w:rFonts w:ascii="Calibri" w:hAnsi="Calibri" w:cs="Calibri"/>
                <w:sz w:val="22"/>
                <w:szCs w:val="22"/>
              </w:rPr>
              <w:t>Přenos signálu</w:t>
            </w:r>
          </w:p>
        </w:tc>
        <w:tc>
          <w:tcPr>
            <w:tcW w:w="3907" w:type="dxa"/>
            <w:tcBorders>
              <w:top w:val="nil"/>
              <w:left w:val="nil"/>
              <w:bottom w:val="single" w:sz="4" w:space="0" w:color="auto"/>
              <w:right w:val="single" w:sz="4" w:space="0" w:color="auto"/>
            </w:tcBorders>
            <w:shd w:val="clear" w:color="auto" w:fill="auto"/>
            <w:vAlign w:val="center"/>
            <w:hideMark/>
          </w:tcPr>
          <w:p w14:paraId="12B77590" w14:textId="77777777" w:rsidR="00AD1CEA" w:rsidRDefault="00AD1CEA">
            <w:pPr>
              <w:rPr>
                <w:rFonts w:ascii="Calibri" w:hAnsi="Calibri" w:cs="Calibri"/>
                <w:sz w:val="22"/>
                <w:szCs w:val="22"/>
              </w:rPr>
            </w:pPr>
            <w:r>
              <w:rPr>
                <w:rFonts w:ascii="Calibri" w:hAnsi="Calibri" w:cs="Calibri"/>
                <w:sz w:val="22"/>
                <w:szCs w:val="22"/>
              </w:rPr>
              <w:t>Nabízené výrobky (notebook, dodané kabely, dokovací stanice, monitor a jejich konektory) umožňují  provoz sestavy se souběžně zapojenými dvěma monitory na úrovni 4K@60Hz (s vypnutým displejem notebooku). Veškeré prvky potřebné k chodu popsané sestavy jsou zahrnuty v plnění</w:t>
            </w:r>
          </w:p>
        </w:tc>
        <w:tc>
          <w:tcPr>
            <w:tcW w:w="1163" w:type="dxa"/>
            <w:tcBorders>
              <w:top w:val="nil"/>
              <w:left w:val="nil"/>
              <w:bottom w:val="single" w:sz="4" w:space="0" w:color="auto"/>
              <w:right w:val="single" w:sz="4" w:space="0" w:color="auto"/>
            </w:tcBorders>
            <w:shd w:val="clear" w:color="000000" w:fill="FFFF00"/>
            <w:vAlign w:val="center"/>
            <w:hideMark/>
          </w:tcPr>
          <w:p w14:paraId="2325C1F9"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single" w:sz="4" w:space="0" w:color="auto"/>
              <w:right w:val="single" w:sz="8" w:space="0" w:color="auto"/>
            </w:tcBorders>
            <w:shd w:val="clear" w:color="000000" w:fill="C0C0C0"/>
            <w:vAlign w:val="center"/>
            <w:hideMark/>
          </w:tcPr>
          <w:p w14:paraId="7A8F2AD2" w14:textId="77777777" w:rsidR="00AD1CEA" w:rsidRDefault="00AD1CEA">
            <w:pPr>
              <w:rPr>
                <w:rFonts w:ascii="Calibri" w:hAnsi="Calibri" w:cs="Calibri"/>
                <w:b/>
                <w:bCs/>
                <w:sz w:val="22"/>
                <w:szCs w:val="22"/>
              </w:rPr>
            </w:pPr>
            <w:r>
              <w:rPr>
                <w:rFonts w:ascii="Calibri" w:hAnsi="Calibri" w:cs="Calibri"/>
                <w:b/>
                <w:bCs/>
                <w:sz w:val="22"/>
                <w:szCs w:val="22"/>
              </w:rPr>
              <w:t> </w:t>
            </w:r>
          </w:p>
        </w:tc>
      </w:tr>
      <w:tr w:rsidR="00AD1CEA" w14:paraId="02AF32B7" w14:textId="77777777" w:rsidTr="00B5689E">
        <w:trPr>
          <w:trHeight w:val="600"/>
        </w:trPr>
        <w:tc>
          <w:tcPr>
            <w:tcW w:w="0" w:type="auto"/>
            <w:tcBorders>
              <w:top w:val="nil"/>
              <w:left w:val="single" w:sz="8" w:space="0" w:color="auto"/>
              <w:bottom w:val="nil"/>
              <w:right w:val="single" w:sz="4" w:space="0" w:color="auto"/>
            </w:tcBorders>
            <w:shd w:val="clear" w:color="000000" w:fill="FFFFFF"/>
            <w:vAlign w:val="center"/>
            <w:hideMark/>
          </w:tcPr>
          <w:p w14:paraId="5525753E" w14:textId="77777777" w:rsidR="00AD1CEA" w:rsidRDefault="00AD1CEA">
            <w:pPr>
              <w:rPr>
                <w:rFonts w:ascii="Calibri" w:hAnsi="Calibri" w:cs="Calibri"/>
                <w:sz w:val="22"/>
                <w:szCs w:val="22"/>
              </w:rPr>
            </w:pPr>
            <w:r>
              <w:rPr>
                <w:rFonts w:ascii="Calibri" w:hAnsi="Calibri" w:cs="Calibri"/>
                <w:sz w:val="22"/>
                <w:szCs w:val="22"/>
              </w:rPr>
              <w:t>Vizuální kompatibilita</w:t>
            </w:r>
          </w:p>
        </w:tc>
        <w:tc>
          <w:tcPr>
            <w:tcW w:w="3907" w:type="dxa"/>
            <w:tcBorders>
              <w:top w:val="nil"/>
              <w:left w:val="nil"/>
              <w:bottom w:val="nil"/>
              <w:right w:val="single" w:sz="4" w:space="0" w:color="auto"/>
            </w:tcBorders>
            <w:shd w:val="clear" w:color="auto" w:fill="auto"/>
            <w:vAlign w:val="center"/>
            <w:hideMark/>
          </w:tcPr>
          <w:p w14:paraId="190FB2C7" w14:textId="77777777" w:rsidR="00AD1CEA" w:rsidRDefault="00AD1CEA">
            <w:pPr>
              <w:rPr>
                <w:rFonts w:ascii="Calibri" w:hAnsi="Calibri" w:cs="Calibri"/>
                <w:sz w:val="22"/>
                <w:szCs w:val="22"/>
              </w:rPr>
            </w:pPr>
            <w:r>
              <w:rPr>
                <w:rFonts w:ascii="Calibri" w:hAnsi="Calibri" w:cs="Calibri"/>
                <w:sz w:val="22"/>
                <w:szCs w:val="22"/>
              </w:rPr>
              <w:t>Veškeré prvky sestavy musí být vzájemně vzhledově kompatibilní bez výrazné barevné odchylky.</w:t>
            </w:r>
          </w:p>
        </w:tc>
        <w:tc>
          <w:tcPr>
            <w:tcW w:w="1163" w:type="dxa"/>
            <w:tcBorders>
              <w:top w:val="nil"/>
              <w:left w:val="nil"/>
              <w:bottom w:val="single" w:sz="4" w:space="0" w:color="auto"/>
              <w:right w:val="single" w:sz="4" w:space="0" w:color="auto"/>
            </w:tcBorders>
            <w:shd w:val="clear" w:color="000000" w:fill="FFFF00"/>
            <w:vAlign w:val="center"/>
            <w:hideMark/>
          </w:tcPr>
          <w:p w14:paraId="0A4A3B50"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nil"/>
              <w:left w:val="nil"/>
              <w:bottom w:val="nil"/>
              <w:right w:val="single" w:sz="8" w:space="0" w:color="auto"/>
            </w:tcBorders>
            <w:shd w:val="clear" w:color="000000" w:fill="C0C0C0"/>
            <w:vAlign w:val="center"/>
            <w:hideMark/>
          </w:tcPr>
          <w:p w14:paraId="5CD21652" w14:textId="77777777" w:rsidR="00AD1CEA" w:rsidRDefault="00AD1CEA">
            <w:pPr>
              <w:rPr>
                <w:rFonts w:ascii="Calibri" w:hAnsi="Calibri" w:cs="Calibri"/>
                <w:b/>
                <w:bCs/>
                <w:sz w:val="22"/>
                <w:szCs w:val="22"/>
              </w:rPr>
            </w:pPr>
            <w:r>
              <w:rPr>
                <w:rFonts w:ascii="Calibri" w:hAnsi="Calibri" w:cs="Calibri"/>
                <w:b/>
                <w:bCs/>
                <w:sz w:val="22"/>
                <w:szCs w:val="22"/>
              </w:rPr>
              <w:t> </w:t>
            </w:r>
          </w:p>
        </w:tc>
      </w:tr>
      <w:tr w:rsidR="00AD1CEA" w14:paraId="6C22E628" w14:textId="77777777" w:rsidTr="00B5689E">
        <w:trPr>
          <w:trHeight w:val="2115"/>
        </w:trPr>
        <w:tc>
          <w:tcPr>
            <w:tcW w:w="0" w:type="auto"/>
            <w:tcBorders>
              <w:top w:val="single" w:sz="4" w:space="0" w:color="auto"/>
              <w:left w:val="single" w:sz="8" w:space="0" w:color="auto"/>
              <w:bottom w:val="single" w:sz="8" w:space="0" w:color="auto"/>
              <w:right w:val="single" w:sz="4" w:space="0" w:color="auto"/>
            </w:tcBorders>
            <w:shd w:val="clear" w:color="000000" w:fill="FFFFFF"/>
            <w:vAlign w:val="center"/>
            <w:hideMark/>
          </w:tcPr>
          <w:p w14:paraId="163951AD" w14:textId="77777777" w:rsidR="00AD1CEA" w:rsidRDefault="00AD1CEA">
            <w:pPr>
              <w:rPr>
                <w:rFonts w:ascii="Calibri" w:hAnsi="Calibri" w:cs="Calibri"/>
                <w:sz w:val="22"/>
                <w:szCs w:val="22"/>
              </w:rPr>
            </w:pPr>
            <w:r>
              <w:rPr>
                <w:rFonts w:ascii="Calibri" w:hAnsi="Calibri" w:cs="Calibri"/>
                <w:sz w:val="22"/>
                <w:szCs w:val="22"/>
              </w:rPr>
              <w:t>Environmentální požadavky</w:t>
            </w:r>
          </w:p>
        </w:tc>
        <w:tc>
          <w:tcPr>
            <w:tcW w:w="3907" w:type="dxa"/>
            <w:tcBorders>
              <w:top w:val="single" w:sz="4" w:space="0" w:color="auto"/>
              <w:left w:val="nil"/>
              <w:bottom w:val="single" w:sz="8" w:space="0" w:color="auto"/>
              <w:right w:val="single" w:sz="4" w:space="0" w:color="auto"/>
            </w:tcBorders>
            <w:shd w:val="clear" w:color="auto" w:fill="auto"/>
            <w:vAlign w:val="center"/>
            <w:hideMark/>
          </w:tcPr>
          <w:p w14:paraId="2FFF205C" w14:textId="77777777" w:rsidR="00AD1CEA" w:rsidRDefault="00AD1CEA">
            <w:pPr>
              <w:rPr>
                <w:rFonts w:ascii="Calibri" w:hAnsi="Calibri" w:cs="Calibri"/>
                <w:sz w:val="22"/>
                <w:szCs w:val="22"/>
              </w:rPr>
            </w:pPr>
            <w:r>
              <w:rPr>
                <w:rFonts w:ascii="Calibri" w:hAnsi="Calibri" w:cs="Calibri"/>
                <w:sz w:val="22"/>
                <w:szCs w:val="22"/>
              </w:rPr>
              <w:t>Veškeré výše uvedené výrobky splňují požadavky vyplývající z Nařízení Komise EU č. 617/2013 ze dne 26. června 2013, kterým se provádí směrnice Evropského parlamentu a Rady 2009/2009/125/ES a jsou v souladu s direktivou RoHS (Restriction of Use of Certain Hazardous Substances) a nařízení vlády č. 481/2012, je-li jejich aplikace relevantní</w:t>
            </w:r>
          </w:p>
        </w:tc>
        <w:tc>
          <w:tcPr>
            <w:tcW w:w="1163" w:type="dxa"/>
            <w:tcBorders>
              <w:top w:val="nil"/>
              <w:left w:val="nil"/>
              <w:bottom w:val="single" w:sz="8" w:space="0" w:color="auto"/>
              <w:right w:val="single" w:sz="4" w:space="0" w:color="auto"/>
            </w:tcBorders>
            <w:shd w:val="clear" w:color="000000" w:fill="FFFF00"/>
            <w:vAlign w:val="center"/>
            <w:hideMark/>
          </w:tcPr>
          <w:p w14:paraId="698930FA" w14:textId="77777777" w:rsidR="00AD1CEA" w:rsidRDefault="00AD1CEA">
            <w:pPr>
              <w:rPr>
                <w:rFonts w:ascii="Calibri" w:hAnsi="Calibri" w:cs="Calibri"/>
                <w:sz w:val="22"/>
                <w:szCs w:val="22"/>
              </w:rPr>
            </w:pPr>
            <w:r>
              <w:rPr>
                <w:rFonts w:ascii="Calibri" w:hAnsi="Calibri" w:cs="Calibri"/>
                <w:sz w:val="22"/>
                <w:szCs w:val="22"/>
              </w:rPr>
              <w:t>ANO</w:t>
            </w:r>
          </w:p>
        </w:tc>
        <w:tc>
          <w:tcPr>
            <w:tcW w:w="0" w:type="auto"/>
            <w:tcBorders>
              <w:top w:val="single" w:sz="4" w:space="0" w:color="auto"/>
              <w:left w:val="nil"/>
              <w:bottom w:val="single" w:sz="8" w:space="0" w:color="auto"/>
              <w:right w:val="single" w:sz="8" w:space="0" w:color="auto"/>
            </w:tcBorders>
            <w:shd w:val="clear" w:color="000000" w:fill="C0C0C0"/>
            <w:vAlign w:val="center"/>
            <w:hideMark/>
          </w:tcPr>
          <w:p w14:paraId="4F28D291" w14:textId="77777777" w:rsidR="00AD1CEA" w:rsidRDefault="00AD1CEA">
            <w:pPr>
              <w:rPr>
                <w:rFonts w:ascii="Calibri" w:hAnsi="Calibri" w:cs="Calibri"/>
                <w:b/>
                <w:bCs/>
                <w:sz w:val="22"/>
                <w:szCs w:val="22"/>
              </w:rPr>
            </w:pPr>
            <w:r>
              <w:rPr>
                <w:rFonts w:ascii="Calibri" w:hAnsi="Calibri" w:cs="Calibri"/>
                <w:b/>
                <w:bCs/>
                <w:sz w:val="22"/>
                <w:szCs w:val="22"/>
              </w:rPr>
              <w:t> </w:t>
            </w:r>
          </w:p>
        </w:tc>
      </w:tr>
    </w:tbl>
    <w:p w14:paraId="7D9F37D9" w14:textId="4C133028" w:rsidR="00AD1CEA" w:rsidRDefault="00AD1CEA">
      <w:pPr>
        <w:rPr>
          <w:b/>
        </w:rPr>
      </w:pPr>
    </w:p>
    <w:p w14:paraId="172B3D95" w14:textId="59EFC055" w:rsidR="00A46EB4" w:rsidRDefault="00A46EB4">
      <w:pPr>
        <w:rPr>
          <w:b/>
        </w:rPr>
      </w:pPr>
    </w:p>
    <w:tbl>
      <w:tblPr>
        <w:tblW w:w="5000" w:type="pct"/>
        <w:tblCellMar>
          <w:left w:w="70" w:type="dxa"/>
          <w:right w:w="70" w:type="dxa"/>
        </w:tblCellMar>
        <w:tblLook w:val="04A0" w:firstRow="1" w:lastRow="0" w:firstColumn="1" w:lastColumn="0" w:noHBand="0" w:noVBand="1"/>
      </w:tblPr>
      <w:tblGrid>
        <w:gridCol w:w="3391"/>
        <w:gridCol w:w="6227"/>
      </w:tblGrid>
      <w:tr w:rsidR="0005658B" w14:paraId="3B1DFBFB" w14:textId="77777777" w:rsidTr="0005658B">
        <w:trPr>
          <w:trHeight w:val="420"/>
        </w:trPr>
        <w:tc>
          <w:tcPr>
            <w:tcW w:w="1763" w:type="pct"/>
            <w:tcBorders>
              <w:top w:val="single" w:sz="8" w:space="0" w:color="auto"/>
              <w:left w:val="single" w:sz="8" w:space="0" w:color="auto"/>
              <w:bottom w:val="single" w:sz="8" w:space="0" w:color="auto"/>
              <w:right w:val="single" w:sz="8" w:space="0" w:color="auto"/>
            </w:tcBorders>
            <w:shd w:val="clear" w:color="000000" w:fill="99CCFF"/>
            <w:vAlign w:val="center"/>
            <w:hideMark/>
          </w:tcPr>
          <w:p w14:paraId="0F358F7A" w14:textId="77777777" w:rsidR="0005658B" w:rsidRDefault="0005658B">
            <w:pPr>
              <w:rPr>
                <w:rFonts w:ascii="Calibri" w:hAnsi="Calibri" w:cs="Calibri"/>
                <w:b/>
                <w:bCs/>
                <w:sz w:val="22"/>
                <w:szCs w:val="22"/>
              </w:rPr>
            </w:pPr>
            <w:r>
              <w:rPr>
                <w:rFonts w:ascii="Calibri" w:hAnsi="Calibri" w:cs="Calibri"/>
                <w:b/>
                <w:bCs/>
                <w:sz w:val="22"/>
                <w:szCs w:val="22"/>
              </w:rPr>
              <w:t xml:space="preserve">Vzor samolepky s logem EU/NPO </w:t>
            </w:r>
          </w:p>
        </w:tc>
        <w:tc>
          <w:tcPr>
            <w:tcW w:w="3237" w:type="pct"/>
            <w:tcBorders>
              <w:top w:val="single" w:sz="8" w:space="0" w:color="auto"/>
              <w:left w:val="nil"/>
              <w:bottom w:val="single" w:sz="8" w:space="0" w:color="auto"/>
              <w:right w:val="single" w:sz="8" w:space="0" w:color="auto"/>
            </w:tcBorders>
            <w:shd w:val="clear" w:color="auto" w:fill="auto"/>
            <w:noWrap/>
            <w:vAlign w:val="center"/>
            <w:hideMark/>
          </w:tcPr>
          <w:p w14:paraId="14CDED86" w14:textId="77777777" w:rsidR="0005658B" w:rsidRDefault="0005658B">
            <w:pPr>
              <w:rPr>
                <w:rFonts w:ascii="Calibri" w:hAnsi="Calibri" w:cs="Calibri"/>
                <w:color w:val="000000"/>
                <w:sz w:val="22"/>
                <w:szCs w:val="22"/>
              </w:rPr>
            </w:pPr>
            <w:r>
              <w:rPr>
                <w:rFonts w:ascii="Calibri" w:hAnsi="Calibri" w:cs="Calibri"/>
                <w:color w:val="000000"/>
                <w:sz w:val="22"/>
                <w:szCs w:val="22"/>
              </w:rPr>
              <w:t>Rozměr: min. 10 cm na délku, výška proporcionálně</w:t>
            </w:r>
          </w:p>
        </w:tc>
      </w:tr>
    </w:tbl>
    <w:p w14:paraId="324FABC4" w14:textId="0DAD803D" w:rsidR="0005658B" w:rsidRDefault="0005658B">
      <w:pPr>
        <w:rPr>
          <w:b/>
        </w:rPr>
      </w:pPr>
      <w:r>
        <w:rPr>
          <w:noProof/>
        </w:rPr>
        <w:drawing>
          <wp:inline distT="0" distB="0" distL="0" distR="0" wp14:anchorId="541D6E1D" wp14:editId="6CE7D278">
            <wp:extent cx="6120130" cy="1320165"/>
            <wp:effectExtent l="0" t="0" r="0" b="0"/>
            <wp:docPr id="2" name="Obrázek 1">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00000000-0008-0000-0100-000002000000}"/>
                        </a:ext>
                      </a:extLst>
                    </pic:cNvPr>
                    <pic:cNvPicPr>
                      <a:picLocks noChangeAspect="1"/>
                    </pic:cNvPicPr>
                  </pic:nvPicPr>
                  <pic:blipFill>
                    <a:blip r:embed="rId10"/>
                    <a:stretch>
                      <a:fillRect/>
                    </a:stretch>
                  </pic:blipFill>
                  <pic:spPr>
                    <a:xfrm>
                      <a:off x="0" y="0"/>
                      <a:ext cx="6120130" cy="1320165"/>
                    </a:xfrm>
                    <a:prstGeom prst="rect">
                      <a:avLst/>
                    </a:prstGeom>
                  </pic:spPr>
                </pic:pic>
              </a:graphicData>
            </a:graphic>
          </wp:inline>
        </w:drawing>
      </w:r>
    </w:p>
    <w:p w14:paraId="5DB257FD" w14:textId="05809E90" w:rsidR="00A46EB4" w:rsidRDefault="00A46EB4">
      <w:pPr>
        <w:rPr>
          <w:b/>
        </w:rPr>
      </w:pPr>
      <w:r>
        <w:rPr>
          <w:b/>
        </w:rPr>
        <w:br w:type="page"/>
      </w:r>
    </w:p>
    <w:p w14:paraId="12ABC2D8" w14:textId="77777777" w:rsidR="00A46EB4" w:rsidRPr="00323BDF" w:rsidRDefault="00A46EB4" w:rsidP="00A46EB4">
      <w:pPr>
        <w:jc w:val="center"/>
        <w:rPr>
          <w:b/>
          <w:color w:val="000000"/>
        </w:rPr>
      </w:pPr>
      <w:r w:rsidRPr="00323BDF">
        <w:rPr>
          <w:b/>
          <w:color w:val="000000"/>
        </w:rPr>
        <w:lastRenderedPageBreak/>
        <w:t>Příloha č. 2 Seznam odběrných míst</w:t>
      </w:r>
    </w:p>
    <w:p w14:paraId="608B6DD0" w14:textId="77777777" w:rsidR="00A46EB4" w:rsidRDefault="00A46EB4" w:rsidP="00A46EB4">
      <w:pPr>
        <w:jc w:val="center"/>
        <w:rPr>
          <w:rFonts w:ascii="Calibri" w:hAnsi="Calibri"/>
          <w:b/>
          <w:color w:val="000000"/>
        </w:rPr>
      </w:pPr>
    </w:p>
    <w:tbl>
      <w:tblPr>
        <w:tblpPr w:leftFromText="141" w:rightFromText="141" w:vertAnchor="text" w:tblpXSpec="center" w:tblpY="1"/>
        <w:tblOverlap w:val="never"/>
        <w:tblW w:w="9629" w:type="dxa"/>
        <w:tblCellMar>
          <w:left w:w="70" w:type="dxa"/>
          <w:right w:w="70" w:type="dxa"/>
        </w:tblCellMar>
        <w:tblLook w:val="04A0" w:firstRow="1" w:lastRow="0" w:firstColumn="1" w:lastColumn="0" w:noHBand="0" w:noVBand="1"/>
      </w:tblPr>
      <w:tblGrid>
        <w:gridCol w:w="4668"/>
        <w:gridCol w:w="2552"/>
        <w:gridCol w:w="2409"/>
      </w:tblGrid>
      <w:tr w:rsidR="00A46EB4" w14:paraId="28493B81" w14:textId="77777777" w:rsidTr="009E576D">
        <w:trPr>
          <w:trHeight w:val="992"/>
        </w:trPr>
        <w:tc>
          <w:tcPr>
            <w:tcW w:w="4668" w:type="dxa"/>
            <w:tcBorders>
              <w:top w:val="single" w:sz="8" w:space="0" w:color="auto"/>
              <w:left w:val="single" w:sz="8" w:space="0" w:color="auto"/>
              <w:bottom w:val="single" w:sz="8" w:space="0" w:color="auto"/>
              <w:right w:val="single" w:sz="4" w:space="0" w:color="auto"/>
            </w:tcBorders>
            <w:shd w:val="clear" w:color="auto" w:fill="A6A6A6"/>
            <w:noWrap/>
            <w:vAlign w:val="center"/>
            <w:hideMark/>
          </w:tcPr>
          <w:p w14:paraId="6000BBEC" w14:textId="77777777" w:rsidR="00A46EB4" w:rsidRDefault="00A46EB4" w:rsidP="009E576D">
            <w:pPr>
              <w:jc w:val="center"/>
              <w:rPr>
                <w:rFonts w:ascii="Calibri" w:hAnsi="Calibri" w:cs="Calibri"/>
                <w:b/>
                <w:bCs/>
                <w:color w:val="000000"/>
                <w:sz w:val="20"/>
                <w:szCs w:val="20"/>
              </w:rPr>
            </w:pPr>
            <w:r>
              <w:rPr>
                <w:rFonts w:ascii="Calibri" w:hAnsi="Calibri" w:cs="Calibri"/>
                <w:b/>
                <w:bCs/>
                <w:color w:val="000000"/>
                <w:sz w:val="20"/>
                <w:szCs w:val="20"/>
              </w:rPr>
              <w:t>Subjekt</w:t>
            </w:r>
          </w:p>
        </w:tc>
        <w:tc>
          <w:tcPr>
            <w:tcW w:w="2552" w:type="dxa"/>
            <w:tcBorders>
              <w:top w:val="single" w:sz="8" w:space="0" w:color="auto"/>
              <w:left w:val="nil"/>
              <w:bottom w:val="single" w:sz="8" w:space="0" w:color="auto"/>
              <w:right w:val="single" w:sz="4" w:space="0" w:color="auto"/>
            </w:tcBorders>
            <w:shd w:val="clear" w:color="auto" w:fill="A6A6A6"/>
            <w:noWrap/>
            <w:vAlign w:val="center"/>
            <w:hideMark/>
          </w:tcPr>
          <w:p w14:paraId="17363423" w14:textId="77777777" w:rsidR="00A46EB4" w:rsidRDefault="00A46EB4" w:rsidP="009E576D">
            <w:pPr>
              <w:jc w:val="center"/>
              <w:rPr>
                <w:rFonts w:ascii="Calibri" w:hAnsi="Calibri" w:cs="Calibri"/>
                <w:b/>
                <w:bCs/>
                <w:color w:val="000000"/>
                <w:sz w:val="20"/>
                <w:szCs w:val="20"/>
              </w:rPr>
            </w:pPr>
            <w:r>
              <w:rPr>
                <w:rFonts w:ascii="Calibri" w:hAnsi="Calibri" w:cs="Calibri"/>
                <w:b/>
                <w:bCs/>
                <w:color w:val="000000"/>
                <w:sz w:val="20"/>
                <w:szCs w:val="20"/>
              </w:rPr>
              <w:t>Město</w:t>
            </w:r>
          </w:p>
        </w:tc>
        <w:tc>
          <w:tcPr>
            <w:tcW w:w="2409" w:type="dxa"/>
            <w:tcBorders>
              <w:top w:val="single" w:sz="8" w:space="0" w:color="auto"/>
              <w:left w:val="nil"/>
              <w:bottom w:val="single" w:sz="8" w:space="0" w:color="auto"/>
              <w:right w:val="single" w:sz="8" w:space="0" w:color="auto"/>
            </w:tcBorders>
            <w:shd w:val="clear" w:color="auto" w:fill="A6A6A6"/>
            <w:vAlign w:val="center"/>
            <w:hideMark/>
          </w:tcPr>
          <w:p w14:paraId="157AEFAB" w14:textId="77777777" w:rsidR="00A46EB4" w:rsidRDefault="00A46EB4" w:rsidP="009E576D">
            <w:pPr>
              <w:jc w:val="center"/>
              <w:rPr>
                <w:rFonts w:ascii="Calibri" w:hAnsi="Calibri" w:cs="Calibri"/>
                <w:b/>
                <w:bCs/>
                <w:color w:val="000000"/>
                <w:sz w:val="20"/>
                <w:szCs w:val="20"/>
              </w:rPr>
            </w:pPr>
            <w:r>
              <w:rPr>
                <w:rFonts w:ascii="Calibri" w:hAnsi="Calibri" w:cs="Calibri"/>
                <w:b/>
                <w:bCs/>
                <w:color w:val="000000"/>
                <w:sz w:val="20"/>
                <w:szCs w:val="20"/>
              </w:rPr>
              <w:t>Ulice</w:t>
            </w:r>
          </w:p>
        </w:tc>
      </w:tr>
      <w:tr w:rsidR="00A46EB4" w14:paraId="237F18A2" w14:textId="77777777" w:rsidTr="005218ED">
        <w:trPr>
          <w:trHeight w:val="400"/>
        </w:trPr>
        <w:tc>
          <w:tcPr>
            <w:tcW w:w="4668" w:type="dxa"/>
            <w:tcBorders>
              <w:top w:val="nil"/>
              <w:left w:val="single" w:sz="8" w:space="0" w:color="auto"/>
              <w:bottom w:val="single" w:sz="4" w:space="0" w:color="auto"/>
              <w:right w:val="single" w:sz="4" w:space="0" w:color="auto"/>
            </w:tcBorders>
            <w:noWrap/>
            <w:vAlign w:val="center"/>
          </w:tcPr>
          <w:p w14:paraId="1C7C892D" w14:textId="4846584C" w:rsidR="00A46EB4" w:rsidRDefault="00694305" w:rsidP="009E576D">
            <w:pPr>
              <w:rPr>
                <w:rFonts w:ascii="Calibri" w:hAnsi="Calibri" w:cs="Calibri"/>
                <w:b/>
                <w:bCs/>
                <w:color w:val="000000"/>
                <w:sz w:val="20"/>
                <w:szCs w:val="20"/>
              </w:rPr>
            </w:pPr>
            <w:r>
              <w:rPr>
                <w:rFonts w:ascii="Calibri" w:hAnsi="Calibri" w:cs="Calibri"/>
                <w:b/>
                <w:bCs/>
                <w:color w:val="000000"/>
                <w:sz w:val="20"/>
                <w:szCs w:val="20"/>
              </w:rPr>
              <w:t>Město Znojmo</w:t>
            </w:r>
          </w:p>
        </w:tc>
        <w:tc>
          <w:tcPr>
            <w:tcW w:w="2552" w:type="dxa"/>
            <w:tcBorders>
              <w:top w:val="nil"/>
              <w:left w:val="nil"/>
              <w:bottom w:val="single" w:sz="4" w:space="0" w:color="auto"/>
              <w:right w:val="single" w:sz="4" w:space="0" w:color="auto"/>
            </w:tcBorders>
            <w:shd w:val="clear" w:color="auto" w:fill="FFFFFF"/>
            <w:vAlign w:val="center"/>
          </w:tcPr>
          <w:p w14:paraId="70A7377F" w14:textId="571F9352" w:rsidR="00A46EB4" w:rsidRDefault="00694305" w:rsidP="009E576D">
            <w:pPr>
              <w:ind w:firstLineChars="200" w:firstLine="400"/>
              <w:rPr>
                <w:rFonts w:ascii="Calibri" w:hAnsi="Calibri" w:cs="Calibri"/>
                <w:sz w:val="20"/>
                <w:szCs w:val="20"/>
              </w:rPr>
            </w:pPr>
            <w:r>
              <w:rPr>
                <w:rFonts w:ascii="Calibri" w:hAnsi="Calibri" w:cs="Calibri"/>
                <w:sz w:val="20"/>
                <w:szCs w:val="20"/>
              </w:rPr>
              <w:t>Znojmo</w:t>
            </w:r>
          </w:p>
        </w:tc>
        <w:tc>
          <w:tcPr>
            <w:tcW w:w="2409" w:type="dxa"/>
            <w:tcBorders>
              <w:top w:val="nil"/>
              <w:left w:val="nil"/>
              <w:bottom w:val="single" w:sz="4" w:space="0" w:color="auto"/>
              <w:right w:val="single" w:sz="8" w:space="0" w:color="auto"/>
            </w:tcBorders>
            <w:noWrap/>
            <w:vAlign w:val="center"/>
          </w:tcPr>
          <w:p w14:paraId="5A08ED29" w14:textId="439F56CC" w:rsidR="00A46EB4" w:rsidRDefault="00694305" w:rsidP="009E576D">
            <w:pPr>
              <w:rPr>
                <w:rFonts w:ascii="Calibri" w:hAnsi="Calibri" w:cs="Calibri"/>
                <w:color w:val="000000"/>
                <w:sz w:val="20"/>
                <w:szCs w:val="20"/>
              </w:rPr>
            </w:pPr>
            <w:r>
              <w:rPr>
                <w:rFonts w:ascii="Calibri" w:hAnsi="Calibri" w:cs="Calibri"/>
                <w:color w:val="000000"/>
                <w:sz w:val="20"/>
                <w:szCs w:val="20"/>
              </w:rPr>
              <w:t>Obroková 2/10</w:t>
            </w:r>
          </w:p>
        </w:tc>
      </w:tr>
      <w:tr w:rsidR="005218ED" w14:paraId="10146B4E" w14:textId="77777777" w:rsidTr="005218ED">
        <w:trPr>
          <w:trHeight w:val="400"/>
        </w:trPr>
        <w:tc>
          <w:tcPr>
            <w:tcW w:w="4668" w:type="dxa"/>
            <w:tcBorders>
              <w:top w:val="single" w:sz="4" w:space="0" w:color="auto"/>
              <w:left w:val="single" w:sz="4" w:space="0" w:color="auto"/>
              <w:bottom w:val="single" w:sz="4" w:space="0" w:color="auto"/>
              <w:right w:val="single" w:sz="4" w:space="0" w:color="auto"/>
            </w:tcBorders>
            <w:noWrap/>
            <w:vAlign w:val="center"/>
          </w:tcPr>
          <w:p w14:paraId="37C63DD6" w14:textId="77777777" w:rsidR="005218ED" w:rsidRDefault="005218ED" w:rsidP="009E576D">
            <w:pPr>
              <w:rPr>
                <w:rFonts w:ascii="Calibri" w:hAnsi="Calibri" w:cs="Calibri"/>
                <w:b/>
                <w:bCs/>
                <w:color w:val="000000"/>
                <w:sz w:val="20"/>
                <w:szCs w:val="20"/>
              </w:rPr>
            </w:pPr>
          </w:p>
        </w:tc>
        <w:tc>
          <w:tcPr>
            <w:tcW w:w="2552" w:type="dxa"/>
            <w:tcBorders>
              <w:top w:val="single" w:sz="4" w:space="0" w:color="auto"/>
              <w:left w:val="nil"/>
              <w:bottom w:val="single" w:sz="4" w:space="0" w:color="auto"/>
              <w:right w:val="single" w:sz="4" w:space="0" w:color="auto"/>
            </w:tcBorders>
            <w:shd w:val="clear" w:color="auto" w:fill="FFFFFF"/>
            <w:vAlign w:val="center"/>
          </w:tcPr>
          <w:p w14:paraId="4B3EFCFA" w14:textId="77777777" w:rsidR="005218ED" w:rsidRDefault="005218ED" w:rsidP="009E576D">
            <w:pPr>
              <w:ind w:firstLineChars="200" w:firstLine="400"/>
              <w:rPr>
                <w:rFonts w:ascii="Calibri" w:hAnsi="Calibri" w:cs="Calibri"/>
                <w:sz w:val="20"/>
                <w:szCs w:val="20"/>
              </w:rPr>
            </w:pPr>
          </w:p>
        </w:tc>
        <w:tc>
          <w:tcPr>
            <w:tcW w:w="2409" w:type="dxa"/>
            <w:tcBorders>
              <w:top w:val="single" w:sz="4" w:space="0" w:color="auto"/>
              <w:left w:val="nil"/>
              <w:bottom w:val="single" w:sz="4" w:space="0" w:color="auto"/>
              <w:right w:val="single" w:sz="4" w:space="0" w:color="auto"/>
            </w:tcBorders>
            <w:noWrap/>
            <w:vAlign w:val="center"/>
          </w:tcPr>
          <w:p w14:paraId="4A7BF28A" w14:textId="77777777" w:rsidR="005218ED" w:rsidRDefault="005218ED" w:rsidP="009E576D">
            <w:pPr>
              <w:rPr>
                <w:rFonts w:ascii="Calibri" w:hAnsi="Calibri" w:cs="Calibri"/>
                <w:color w:val="000000"/>
                <w:sz w:val="20"/>
                <w:szCs w:val="20"/>
              </w:rPr>
            </w:pPr>
          </w:p>
        </w:tc>
      </w:tr>
      <w:tr w:rsidR="005218ED" w14:paraId="3FD63FAD" w14:textId="77777777" w:rsidTr="005218ED">
        <w:trPr>
          <w:trHeight w:val="400"/>
        </w:trPr>
        <w:tc>
          <w:tcPr>
            <w:tcW w:w="4668" w:type="dxa"/>
            <w:tcBorders>
              <w:top w:val="single" w:sz="4" w:space="0" w:color="auto"/>
              <w:left w:val="single" w:sz="4" w:space="0" w:color="auto"/>
              <w:bottom w:val="single" w:sz="4" w:space="0" w:color="auto"/>
              <w:right w:val="single" w:sz="4" w:space="0" w:color="auto"/>
            </w:tcBorders>
            <w:noWrap/>
            <w:vAlign w:val="center"/>
          </w:tcPr>
          <w:p w14:paraId="4095AA25" w14:textId="77777777" w:rsidR="005218ED" w:rsidRDefault="005218ED" w:rsidP="009E576D">
            <w:pPr>
              <w:rPr>
                <w:rFonts w:ascii="Calibri" w:hAnsi="Calibri" w:cs="Calibri"/>
                <w:b/>
                <w:bCs/>
                <w:color w:val="000000"/>
                <w:sz w:val="20"/>
                <w:szCs w:val="20"/>
              </w:rPr>
            </w:pPr>
          </w:p>
        </w:tc>
        <w:tc>
          <w:tcPr>
            <w:tcW w:w="2552" w:type="dxa"/>
            <w:tcBorders>
              <w:top w:val="single" w:sz="4" w:space="0" w:color="auto"/>
              <w:left w:val="nil"/>
              <w:bottom w:val="single" w:sz="4" w:space="0" w:color="auto"/>
              <w:right w:val="single" w:sz="4" w:space="0" w:color="auto"/>
            </w:tcBorders>
            <w:shd w:val="clear" w:color="auto" w:fill="FFFFFF"/>
            <w:vAlign w:val="center"/>
          </w:tcPr>
          <w:p w14:paraId="48AD11DA" w14:textId="77777777" w:rsidR="005218ED" w:rsidRDefault="005218ED" w:rsidP="009E576D">
            <w:pPr>
              <w:ind w:firstLineChars="200" w:firstLine="400"/>
              <w:rPr>
                <w:rFonts w:ascii="Calibri" w:hAnsi="Calibri" w:cs="Calibri"/>
                <w:sz w:val="20"/>
                <w:szCs w:val="20"/>
              </w:rPr>
            </w:pPr>
          </w:p>
        </w:tc>
        <w:tc>
          <w:tcPr>
            <w:tcW w:w="2409" w:type="dxa"/>
            <w:tcBorders>
              <w:top w:val="single" w:sz="4" w:space="0" w:color="auto"/>
              <w:left w:val="nil"/>
              <w:bottom w:val="single" w:sz="4" w:space="0" w:color="auto"/>
              <w:right w:val="single" w:sz="4" w:space="0" w:color="auto"/>
            </w:tcBorders>
            <w:noWrap/>
            <w:vAlign w:val="center"/>
          </w:tcPr>
          <w:p w14:paraId="3292ABD1" w14:textId="77777777" w:rsidR="005218ED" w:rsidRDefault="005218ED" w:rsidP="009E576D">
            <w:pPr>
              <w:rPr>
                <w:rFonts w:ascii="Calibri" w:hAnsi="Calibri" w:cs="Calibri"/>
                <w:color w:val="000000"/>
                <w:sz w:val="20"/>
                <w:szCs w:val="20"/>
              </w:rPr>
            </w:pPr>
          </w:p>
        </w:tc>
      </w:tr>
    </w:tbl>
    <w:p w14:paraId="5DE0D76A" w14:textId="77777777" w:rsidR="00A46EB4" w:rsidRDefault="00A46EB4" w:rsidP="00A46EB4">
      <w:pPr>
        <w:rPr>
          <w:b/>
        </w:rPr>
      </w:pPr>
    </w:p>
    <w:p w14:paraId="4D83F235" w14:textId="77777777" w:rsidR="00A46EB4" w:rsidRDefault="00A46EB4">
      <w:pPr>
        <w:rPr>
          <w:b/>
        </w:rPr>
      </w:pPr>
    </w:p>
    <w:sectPr w:rsidR="00A46EB4">
      <w:pgSz w:w="11906" w:h="16838" w:code="9"/>
      <w:pgMar w:top="1134"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A3C0C" w14:textId="77777777" w:rsidR="009E576D" w:rsidRDefault="009E576D" w:rsidP="00834D2A">
      <w:r>
        <w:separator/>
      </w:r>
    </w:p>
  </w:endnote>
  <w:endnote w:type="continuationSeparator" w:id="0">
    <w:p w14:paraId="09B43976" w14:textId="77777777" w:rsidR="009E576D" w:rsidRDefault="009E576D" w:rsidP="00834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9551D" w14:textId="77777777" w:rsidR="009E576D" w:rsidRDefault="009E576D" w:rsidP="00834D2A">
      <w:r>
        <w:separator/>
      </w:r>
    </w:p>
  </w:footnote>
  <w:footnote w:type="continuationSeparator" w:id="0">
    <w:p w14:paraId="06824607" w14:textId="77777777" w:rsidR="009E576D" w:rsidRDefault="009E576D" w:rsidP="00834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C3D92"/>
    <w:multiLevelType w:val="hybridMultilevel"/>
    <w:tmpl w:val="EE3E42A8"/>
    <w:lvl w:ilvl="0" w:tplc="9E800E3A">
      <w:start w:val="1"/>
      <w:numFmt w:val="decimal"/>
      <w:pStyle w:val="Styl1"/>
      <w:lvlText w:val="%1)"/>
      <w:lvlJc w:val="left"/>
      <w:pPr>
        <w:ind w:left="1077" w:hanging="360"/>
      </w:pPr>
      <w:rPr>
        <w:rFonts w:cs="Times New Roman"/>
      </w:rPr>
    </w:lvl>
    <w:lvl w:ilvl="1" w:tplc="04190019">
      <w:start w:val="1"/>
      <w:numFmt w:val="lowerLetter"/>
      <w:lvlText w:val="%2."/>
      <w:lvlJc w:val="left"/>
      <w:pPr>
        <w:ind w:left="1797" w:hanging="360"/>
      </w:pPr>
      <w:rPr>
        <w:rFonts w:cs="Times New Roman"/>
      </w:rPr>
    </w:lvl>
    <w:lvl w:ilvl="2" w:tplc="0419001B">
      <w:start w:val="1"/>
      <w:numFmt w:val="lowerRoman"/>
      <w:lvlText w:val="%3."/>
      <w:lvlJc w:val="right"/>
      <w:pPr>
        <w:ind w:left="2517" w:hanging="180"/>
      </w:pPr>
      <w:rPr>
        <w:rFonts w:cs="Times New Roman"/>
      </w:rPr>
    </w:lvl>
    <w:lvl w:ilvl="3" w:tplc="0419000F">
      <w:start w:val="1"/>
      <w:numFmt w:val="decimal"/>
      <w:lvlText w:val="%4."/>
      <w:lvlJc w:val="left"/>
      <w:pPr>
        <w:ind w:left="3237" w:hanging="360"/>
      </w:pPr>
      <w:rPr>
        <w:rFonts w:cs="Times New Roman"/>
      </w:rPr>
    </w:lvl>
    <w:lvl w:ilvl="4" w:tplc="04190019">
      <w:start w:val="1"/>
      <w:numFmt w:val="lowerLetter"/>
      <w:lvlText w:val="%5."/>
      <w:lvlJc w:val="left"/>
      <w:pPr>
        <w:ind w:left="3957" w:hanging="360"/>
      </w:pPr>
      <w:rPr>
        <w:rFonts w:cs="Times New Roman"/>
      </w:rPr>
    </w:lvl>
    <w:lvl w:ilvl="5" w:tplc="0419001B">
      <w:start w:val="1"/>
      <w:numFmt w:val="lowerRoman"/>
      <w:lvlText w:val="%6."/>
      <w:lvlJc w:val="right"/>
      <w:pPr>
        <w:ind w:left="4677" w:hanging="180"/>
      </w:pPr>
      <w:rPr>
        <w:rFonts w:cs="Times New Roman"/>
      </w:rPr>
    </w:lvl>
    <w:lvl w:ilvl="6" w:tplc="0419000F">
      <w:start w:val="1"/>
      <w:numFmt w:val="decimal"/>
      <w:lvlText w:val="%7."/>
      <w:lvlJc w:val="left"/>
      <w:pPr>
        <w:ind w:left="5397" w:hanging="360"/>
      </w:pPr>
      <w:rPr>
        <w:rFonts w:cs="Times New Roman"/>
      </w:rPr>
    </w:lvl>
    <w:lvl w:ilvl="7" w:tplc="04190019">
      <w:start w:val="1"/>
      <w:numFmt w:val="lowerLetter"/>
      <w:lvlText w:val="%8."/>
      <w:lvlJc w:val="left"/>
      <w:pPr>
        <w:ind w:left="6117" w:hanging="360"/>
      </w:pPr>
      <w:rPr>
        <w:rFonts w:cs="Times New Roman"/>
      </w:rPr>
    </w:lvl>
    <w:lvl w:ilvl="8" w:tplc="0419001B">
      <w:start w:val="1"/>
      <w:numFmt w:val="lowerRoman"/>
      <w:lvlText w:val="%9."/>
      <w:lvlJc w:val="right"/>
      <w:pPr>
        <w:ind w:left="6837" w:hanging="180"/>
      </w:pPr>
      <w:rPr>
        <w:rFonts w:cs="Times New Roman"/>
      </w:rPr>
    </w:lvl>
  </w:abstractNum>
  <w:abstractNum w:abstractNumId="1" w15:restartNumberingAfterBreak="0">
    <w:nsid w:val="57120E24"/>
    <w:multiLevelType w:val="multilevel"/>
    <w:tmpl w:val="DB38826E"/>
    <w:lvl w:ilvl="0">
      <w:start w:val="1"/>
      <w:numFmt w:val="upperRoman"/>
      <w:pStyle w:val="Nadpis1"/>
      <w:lvlText w:val="%1."/>
      <w:lvlJc w:val="left"/>
      <w:pPr>
        <w:ind w:left="5747" w:hanging="360"/>
      </w:pPr>
      <w:rPr>
        <w:rFonts w:cs="Times New Roman"/>
        <w:color w:val="000000" w:themeColor="text1"/>
      </w:rPr>
    </w:lvl>
    <w:lvl w:ilvl="1">
      <w:start w:val="1"/>
      <w:numFmt w:val="decimal"/>
      <w:pStyle w:val="Nadpis2"/>
      <w:lvlText w:val="%2)"/>
      <w:lvlJc w:val="left"/>
      <w:pPr>
        <w:ind w:left="1211" w:hanging="360"/>
      </w:pPr>
      <w:rPr>
        <w:rFonts w:cs="Times New Roman" w:hint="default"/>
        <w:color w:val="000000" w:themeColor="text1"/>
      </w:rPr>
    </w:lvl>
    <w:lvl w:ilvl="2">
      <w:start w:val="1"/>
      <w:numFmt w:val="lowerLetter"/>
      <w:pStyle w:val="Nadpis3"/>
      <w:lvlText w:val="%3)"/>
      <w:lvlJc w:val="left"/>
      <w:pPr>
        <w:ind w:left="1080" w:hanging="360"/>
      </w:pPr>
      <w:rPr>
        <w:rFonts w:cs="Times New Roman" w:hint="default"/>
        <w:b w:val="0"/>
        <w:i w:val="0"/>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1880320577">
    <w:abstractNumId w:val="1"/>
  </w:num>
  <w:num w:numId="2" w16cid:durableId="1103572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3438925">
    <w:abstractNumId w:val="1"/>
  </w:num>
  <w:num w:numId="4" w16cid:durableId="1161237760">
    <w:abstractNumId w:val="1"/>
  </w:num>
  <w:num w:numId="5" w16cid:durableId="1668902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DD"/>
    <w:rsid w:val="0005658B"/>
    <w:rsid w:val="00097BA1"/>
    <w:rsid w:val="00130979"/>
    <w:rsid w:val="00155B35"/>
    <w:rsid w:val="00176F51"/>
    <w:rsid w:val="001803ED"/>
    <w:rsid w:val="00192E2E"/>
    <w:rsid w:val="001E0038"/>
    <w:rsid w:val="00212326"/>
    <w:rsid w:val="00286E62"/>
    <w:rsid w:val="002C25DE"/>
    <w:rsid w:val="002E414B"/>
    <w:rsid w:val="00323BDF"/>
    <w:rsid w:val="00331A37"/>
    <w:rsid w:val="00361467"/>
    <w:rsid w:val="003A0E64"/>
    <w:rsid w:val="003B60F2"/>
    <w:rsid w:val="003E44EE"/>
    <w:rsid w:val="00410C6B"/>
    <w:rsid w:val="00422E01"/>
    <w:rsid w:val="00450F6B"/>
    <w:rsid w:val="004A2D24"/>
    <w:rsid w:val="00512430"/>
    <w:rsid w:val="00512969"/>
    <w:rsid w:val="005218ED"/>
    <w:rsid w:val="005723AC"/>
    <w:rsid w:val="0058613E"/>
    <w:rsid w:val="005B4466"/>
    <w:rsid w:val="005E7398"/>
    <w:rsid w:val="005F7FF3"/>
    <w:rsid w:val="0062423B"/>
    <w:rsid w:val="00694305"/>
    <w:rsid w:val="006E5B47"/>
    <w:rsid w:val="00756C88"/>
    <w:rsid w:val="00787CBC"/>
    <w:rsid w:val="007B50D5"/>
    <w:rsid w:val="00806393"/>
    <w:rsid w:val="00834D2A"/>
    <w:rsid w:val="00861642"/>
    <w:rsid w:val="00890D6A"/>
    <w:rsid w:val="008C4DED"/>
    <w:rsid w:val="008D650C"/>
    <w:rsid w:val="008F3595"/>
    <w:rsid w:val="009C1A7E"/>
    <w:rsid w:val="009D3C9D"/>
    <w:rsid w:val="009E576D"/>
    <w:rsid w:val="009F2A14"/>
    <w:rsid w:val="00A46EB4"/>
    <w:rsid w:val="00A72C0E"/>
    <w:rsid w:val="00AB7BF5"/>
    <w:rsid w:val="00AD1CEA"/>
    <w:rsid w:val="00B03E92"/>
    <w:rsid w:val="00B45B23"/>
    <w:rsid w:val="00B5689E"/>
    <w:rsid w:val="00BA46B1"/>
    <w:rsid w:val="00BE3F40"/>
    <w:rsid w:val="00C1092D"/>
    <w:rsid w:val="00C139DD"/>
    <w:rsid w:val="00C4061B"/>
    <w:rsid w:val="00C4247D"/>
    <w:rsid w:val="00C767AA"/>
    <w:rsid w:val="00D07A2B"/>
    <w:rsid w:val="00D12639"/>
    <w:rsid w:val="00D24686"/>
    <w:rsid w:val="00DD492D"/>
    <w:rsid w:val="00E1476E"/>
    <w:rsid w:val="00E200B1"/>
    <w:rsid w:val="00E241AA"/>
    <w:rsid w:val="00E603E0"/>
    <w:rsid w:val="00E70631"/>
    <w:rsid w:val="00E70F55"/>
    <w:rsid w:val="00EF5616"/>
    <w:rsid w:val="00F06CE3"/>
    <w:rsid w:val="00F137C0"/>
    <w:rsid w:val="00F15AC7"/>
    <w:rsid w:val="00F61266"/>
    <w:rsid w:val="00F614AD"/>
    <w:rsid w:val="00FB5E7B"/>
    <w:rsid w:val="00FC1784"/>
    <w:rsid w:val="00FE1EE8"/>
    <w:rsid w:val="00FF1A63"/>
    <w:rsid w:val="00FF33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7D03D5"/>
  <w15:docId w15:val="{90944B8B-39F4-4E63-AC08-BA60BB93F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aliases w:val="Nadpis 1 - Článek smlouvy,ASAPHeading 1,V_Head1,Záhlaví 1,Kapitola,Nadpis 11,H1,h1,Nadpis dokumentu,Základní kapitola,RFP,Aliatel,JK Chapter,AL Chapter,A,PA Chapter,Heading A,Heading1,H1-Heading 1,1,Header 1,l1,Legal Line 1,head 1,list 1,II+"/>
    <w:basedOn w:val="Normln"/>
    <w:next w:val="Normln"/>
    <w:link w:val="Nadpis1Char"/>
    <w:uiPriority w:val="99"/>
    <w:qFormat/>
    <w:pPr>
      <w:keepNext/>
      <w:widowControl w:val="0"/>
      <w:numPr>
        <w:numId w:val="1"/>
      </w:numPr>
      <w:spacing w:before="360" w:after="120"/>
      <w:contextualSpacing/>
      <w:jc w:val="center"/>
      <w:outlineLvl w:val="0"/>
    </w:pPr>
    <w:rPr>
      <w:b/>
      <w:bCs/>
      <w:szCs w:val="28"/>
    </w:rPr>
  </w:style>
  <w:style w:type="paragraph" w:styleId="Nadpis2">
    <w:name w:val="heading 2"/>
    <w:aliases w:val="Nadpis 2 - Odstavec,Podkapitola základní kapitoly,Podkapitola1,F2,Nadpis kapitoly,V_Head2,V_Head21,V_Head22,hlavicka,h2,F21,Záhlaví 2,Clanek2,H2,Outline2,2,l2,list + change bar,???,Titre 2,PA Major Section,I2,chapitre,Überschrift 2 Anhang"/>
    <w:basedOn w:val="Normln"/>
    <w:next w:val="Normln"/>
    <w:link w:val="Nadpis2Char"/>
    <w:uiPriority w:val="99"/>
    <w:qFormat/>
    <w:pPr>
      <w:widowControl w:val="0"/>
      <w:numPr>
        <w:ilvl w:val="1"/>
        <w:numId w:val="1"/>
      </w:numPr>
      <w:spacing w:before="120" w:after="120"/>
      <w:jc w:val="both"/>
      <w:outlineLvl w:val="1"/>
    </w:pPr>
    <w:rPr>
      <w:bCs/>
      <w:szCs w:val="26"/>
    </w:rPr>
  </w:style>
  <w:style w:type="paragraph" w:styleId="Nadpis3">
    <w:name w:val="heading 3"/>
    <w:aliases w:val="Nadpis 3 - Pododstavec"/>
    <w:basedOn w:val="Normln"/>
    <w:next w:val="Normln"/>
    <w:link w:val="Nadpis3Char"/>
    <w:uiPriority w:val="99"/>
    <w:qFormat/>
    <w:pPr>
      <w:numPr>
        <w:ilvl w:val="2"/>
        <w:numId w:val="1"/>
      </w:numPr>
      <w:spacing w:before="120" w:after="120"/>
      <w:jc w:val="both"/>
      <w:outlineLvl w:val="2"/>
    </w:pPr>
    <w:rPr>
      <w:bCs/>
    </w:rPr>
  </w:style>
  <w:style w:type="paragraph" w:styleId="Nadpis4">
    <w:name w:val="heading 4"/>
    <w:basedOn w:val="Normln"/>
    <w:next w:val="Normln"/>
    <w:link w:val="Nadpis4Char"/>
    <w:uiPriority w:val="99"/>
    <w:qFormat/>
    <w:locked/>
    <w:pPr>
      <w:keepNext/>
      <w:tabs>
        <w:tab w:val="num" w:pos="864"/>
      </w:tabs>
      <w:spacing w:before="240" w:after="60"/>
      <w:ind w:left="864" w:hanging="864"/>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 Článek smlouvy Char,ASAPHeading 1 Char,V_Head1 Char,Záhlaví 1 Char,Kapitola Char,Nadpis 11 Char,H1 Char,h1 Char,Nadpis dokumentu Char,Základní kapitola Char,RFP Char,Aliatel Char,JK Chapter Char,AL Chapter Char,A Char,1 Char"/>
    <w:basedOn w:val="Standardnpsmoodstavce"/>
    <w:link w:val="Nadpis1"/>
    <w:uiPriority w:val="99"/>
    <w:locked/>
    <w:rPr>
      <w:b/>
      <w:bCs/>
      <w:sz w:val="24"/>
      <w:szCs w:val="28"/>
    </w:rPr>
  </w:style>
  <w:style w:type="character" w:customStyle="1" w:styleId="Nadpis2Char">
    <w:name w:val="Nadpis 2 Char"/>
    <w:aliases w:val="Nadpis 2 - Odstavec Char,Podkapitola základní kapitoly Char,Podkapitola1 Char,F2 Char,Nadpis kapitoly Char,V_Head2 Char,V_Head21 Char,V_Head22 Char,hlavicka Char,h2 Char,F21 Char,Záhlaví 2 Char,Clanek2 Char,H2 Char,Outline2 Char,2 Char"/>
    <w:basedOn w:val="Standardnpsmoodstavce"/>
    <w:link w:val="Nadpis2"/>
    <w:uiPriority w:val="99"/>
    <w:locked/>
    <w:rPr>
      <w:bCs/>
      <w:sz w:val="24"/>
      <w:szCs w:val="26"/>
    </w:rPr>
  </w:style>
  <w:style w:type="character" w:customStyle="1" w:styleId="Nadpis3Char">
    <w:name w:val="Nadpis 3 Char"/>
    <w:aliases w:val="Nadpis 3 - Pododstavec Char"/>
    <w:basedOn w:val="Standardnpsmoodstavce"/>
    <w:link w:val="Nadpis3"/>
    <w:uiPriority w:val="99"/>
    <w:locked/>
    <w:rPr>
      <w:bCs/>
      <w:sz w:val="24"/>
      <w:szCs w:val="24"/>
    </w:rPr>
  </w:style>
  <w:style w:type="character" w:customStyle="1" w:styleId="Nadpis4Char">
    <w:name w:val="Nadpis 4 Char"/>
    <w:basedOn w:val="Standardnpsmoodstavce"/>
    <w:link w:val="Nadpis4"/>
    <w:uiPriority w:val="99"/>
    <w:locked/>
    <w:rPr>
      <w:rFonts w:ascii="Calibri" w:hAnsi="Calibri" w:cs="Times New Roman"/>
      <w:b/>
      <w:bCs/>
      <w:sz w:val="28"/>
      <w:szCs w:val="28"/>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lang w:eastAsia="cs-CZ"/>
    </w:rPr>
  </w:style>
  <w:style w:type="paragraph" w:customStyle="1" w:styleId="Styl1Nzevsmlouvy">
    <w:name w:val="Styl 1: Název smlouvy"/>
    <w:basedOn w:val="Normln"/>
    <w:link w:val="Styl1NzevsmlouvyChar"/>
    <w:uiPriority w:val="99"/>
    <w:pPr>
      <w:keepNext/>
      <w:spacing w:after="120"/>
      <w:jc w:val="center"/>
    </w:pPr>
    <w:rPr>
      <w:b/>
      <w:smallCaps/>
      <w:sz w:val="36"/>
      <w:lang w:eastAsia="en-US"/>
    </w:rPr>
  </w:style>
  <w:style w:type="character" w:customStyle="1" w:styleId="Styl1NzevsmlouvyChar">
    <w:name w:val="Styl 1: Název smlouvy Char"/>
    <w:basedOn w:val="Standardnpsmoodstavce"/>
    <w:link w:val="Styl1Nzevsmlouvy"/>
    <w:uiPriority w:val="99"/>
    <w:locked/>
    <w:rPr>
      <w:rFonts w:cs="Times New Roman"/>
      <w:b/>
      <w:smallCaps/>
      <w:sz w:val="24"/>
      <w:szCs w:val="24"/>
    </w:rPr>
  </w:style>
  <w:style w:type="paragraph" w:customStyle="1" w:styleId="Styl2popisknzvusmlouvy">
    <w:name w:val="Styl2: popis k názvu smlouvy"/>
    <w:basedOn w:val="Normln"/>
    <w:link w:val="Styl2popisknzvusmlouvyChar"/>
    <w:uiPriority w:val="99"/>
    <w:pPr>
      <w:spacing w:after="240"/>
      <w:contextualSpacing/>
      <w:jc w:val="center"/>
    </w:pPr>
  </w:style>
  <w:style w:type="paragraph" w:customStyle="1" w:styleId="Styl3-Smluvnstrany">
    <w:name w:val="Styl3 - Smluvní strany"/>
    <w:basedOn w:val="Styl2popisknzvusmlouvy"/>
    <w:link w:val="Styl3-SmluvnstranyChar"/>
    <w:uiPriority w:val="99"/>
    <w:pPr>
      <w:spacing w:after="360"/>
      <w:jc w:val="left"/>
    </w:pPr>
  </w:style>
  <w:style w:type="character" w:customStyle="1" w:styleId="Styl2popisknzvusmlouvyChar">
    <w:name w:val="Styl2: popis k názvu smlouvy Char"/>
    <w:basedOn w:val="Standardnpsmoodstavce"/>
    <w:link w:val="Styl2popisknzvusmlouvy"/>
    <w:uiPriority w:val="99"/>
    <w:locked/>
    <w:rPr>
      <w:rFonts w:cs="Times New Roman"/>
      <w:sz w:val="24"/>
      <w:szCs w:val="24"/>
      <w:lang w:eastAsia="cs-CZ"/>
    </w:rPr>
  </w:style>
  <w:style w:type="paragraph" w:customStyle="1" w:styleId="Styl3-Smluvnstranytun">
    <w:name w:val="Styl3 - Smluvní strany tučné"/>
    <w:basedOn w:val="Styl3-Smluvnstrany"/>
    <w:link w:val="Styl3-SmluvnstranytunChar"/>
    <w:uiPriority w:val="99"/>
    <w:pPr>
      <w:spacing w:after="0"/>
    </w:pPr>
    <w:rPr>
      <w:b/>
    </w:rPr>
  </w:style>
  <w:style w:type="character" w:customStyle="1" w:styleId="Styl3-SmluvnstranyChar">
    <w:name w:val="Styl3 - Smluvní strany Char"/>
    <w:basedOn w:val="Styl2popisknzvusmlouvyChar"/>
    <w:link w:val="Styl3-Smluvnstrany"/>
    <w:uiPriority w:val="99"/>
    <w:locked/>
    <w:rPr>
      <w:rFonts w:cs="Times New Roman"/>
      <w:sz w:val="24"/>
      <w:szCs w:val="24"/>
      <w:lang w:eastAsia="cs-CZ"/>
    </w:rPr>
  </w:style>
  <w:style w:type="character" w:styleId="Odkaznakoment">
    <w:name w:val="annotation reference"/>
    <w:basedOn w:val="Standardnpsmoodstavce"/>
    <w:uiPriority w:val="99"/>
    <w:semiHidden/>
    <w:rPr>
      <w:rFonts w:cs="Times New Roman"/>
      <w:sz w:val="16"/>
      <w:szCs w:val="16"/>
    </w:rPr>
  </w:style>
  <w:style w:type="character" w:customStyle="1" w:styleId="Styl3-SmluvnstranytunChar">
    <w:name w:val="Styl3 - Smluvní strany tučné Char"/>
    <w:basedOn w:val="Styl3-SmluvnstranyChar"/>
    <w:link w:val="Styl3-Smluvnstranytun"/>
    <w:uiPriority w:val="99"/>
    <w:locked/>
    <w:rPr>
      <w:rFonts w:cs="Times New Roman"/>
      <w:b/>
      <w:sz w:val="24"/>
      <w:szCs w:val="24"/>
      <w:lang w:eastAsia="cs-CZ"/>
    </w:rPr>
  </w:style>
  <w:style w:type="paragraph" w:styleId="Textkomente">
    <w:name w:val="annotation text"/>
    <w:basedOn w:val="Normln"/>
    <w:link w:val="TextkomenteChar"/>
    <w:uiPriority w:val="99"/>
    <w:rPr>
      <w:sz w:val="20"/>
      <w:szCs w:val="20"/>
    </w:rPr>
  </w:style>
  <w:style w:type="character" w:customStyle="1" w:styleId="TextkomenteChar">
    <w:name w:val="Text komentáře Char"/>
    <w:basedOn w:val="Standardnpsmoodstavce"/>
    <w:link w:val="Textkomente"/>
    <w:uiPriority w:val="99"/>
    <w:locked/>
    <w:rPr>
      <w:rFonts w:cs="Times New Roman"/>
      <w:lang w:eastAsia="cs-CZ"/>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basedOn w:val="TextkomenteChar"/>
    <w:link w:val="Pedmtkomente"/>
    <w:uiPriority w:val="99"/>
    <w:semiHidden/>
    <w:locked/>
    <w:rPr>
      <w:rFonts w:cs="Times New Roman"/>
      <w:b/>
      <w:bCs/>
      <w:lang w:eastAsia="cs-CZ"/>
    </w:rPr>
  </w:style>
  <w:style w:type="paragraph" w:customStyle="1" w:styleId="Nadpis2bezslovn">
    <w:name w:val="Nadpis 2 bez číslování"/>
    <w:basedOn w:val="Nadpis2"/>
    <w:link w:val="Nadpis2bezslovnChar"/>
    <w:uiPriority w:val="99"/>
    <w:pPr>
      <w:numPr>
        <w:ilvl w:val="0"/>
        <w:numId w:val="0"/>
      </w:numPr>
      <w:ind w:left="357"/>
    </w:pPr>
  </w:style>
  <w:style w:type="table" w:styleId="Mkatabulky">
    <w:name w:val="Table Grid"/>
    <w:basedOn w:val="Normlntabulka"/>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bezslovnChar">
    <w:name w:val="Nadpis 2 bez číslování Char"/>
    <w:basedOn w:val="Nadpis2Char"/>
    <w:link w:val="Nadpis2bezslovn"/>
    <w:uiPriority w:val="99"/>
    <w:locked/>
    <w:rPr>
      <w:bCs/>
      <w:sz w:val="24"/>
      <w:szCs w:val="26"/>
    </w:rPr>
  </w:style>
  <w:style w:type="paragraph" w:styleId="Zkladntext">
    <w:name w:val="Body Text"/>
    <w:basedOn w:val="Normln"/>
    <w:link w:val="ZkladntextChar"/>
    <w:uiPriority w:val="99"/>
    <w:pPr>
      <w:widowControl w:val="0"/>
      <w:snapToGrid w:val="0"/>
      <w:jc w:val="both"/>
    </w:pPr>
    <w:rPr>
      <w:i/>
      <w:szCs w:val="20"/>
    </w:rPr>
  </w:style>
  <w:style w:type="character" w:customStyle="1" w:styleId="ZkladntextChar">
    <w:name w:val="Základní text Char"/>
    <w:basedOn w:val="Standardnpsmoodstavce"/>
    <w:link w:val="Zkladntext"/>
    <w:uiPriority w:val="99"/>
    <w:locked/>
    <w:rPr>
      <w:rFonts w:cs="Times New Roman"/>
      <w:i/>
      <w:sz w:val="20"/>
      <w:szCs w:val="20"/>
    </w:rPr>
  </w:style>
  <w:style w:type="character" w:customStyle="1" w:styleId="OdstavecseseznamemChar">
    <w:name w:val="Odstavec se seznamem Char"/>
    <w:link w:val="Odstavecseseznamem"/>
    <w:uiPriority w:val="99"/>
    <w:locked/>
    <w:rPr>
      <w:sz w:val="20"/>
    </w:rPr>
  </w:style>
  <w:style w:type="paragraph" w:styleId="Odstavecseseznamem">
    <w:name w:val="List Paragraph"/>
    <w:basedOn w:val="Normln"/>
    <w:link w:val="OdstavecseseznamemChar"/>
    <w:uiPriority w:val="99"/>
    <w:qFormat/>
    <w:pPr>
      <w:ind w:left="720"/>
      <w:contextualSpacing/>
    </w:pPr>
    <w:rPr>
      <w:sz w:val="20"/>
      <w:szCs w:val="20"/>
    </w:rPr>
  </w:style>
  <w:style w:type="paragraph" w:customStyle="1" w:styleId="Styl1">
    <w:name w:val="Styl1"/>
    <w:basedOn w:val="Odstavecseseznamem"/>
    <w:uiPriority w:val="99"/>
    <w:pPr>
      <w:keepNext/>
      <w:keepLines/>
      <w:numPr>
        <w:numId w:val="2"/>
      </w:numPr>
      <w:spacing w:after="160"/>
      <w:ind w:left="284" w:hanging="284"/>
      <w:jc w:val="both"/>
    </w:pPr>
  </w:style>
  <w:style w:type="character" w:styleId="Zdraznn">
    <w:name w:val="Emphasis"/>
    <w:basedOn w:val="Standardnpsmoodstavce"/>
    <w:uiPriority w:val="99"/>
    <w:qFormat/>
    <w:locked/>
    <w:rPr>
      <w:rFonts w:cs="Times New Roman"/>
      <w:i/>
      <w:iCs/>
    </w:rPr>
  </w:style>
  <w:style w:type="paragraph" w:styleId="Revize">
    <w:name w:val="Revision"/>
    <w:hidden/>
    <w:uiPriority w:val="99"/>
    <w:semiHidden/>
    <w:rPr>
      <w:sz w:val="24"/>
      <w:szCs w:val="24"/>
    </w:rPr>
  </w:style>
  <w:style w:type="character" w:styleId="Hypertextovodkaz">
    <w:name w:val="Hyperlink"/>
    <w:basedOn w:val="Standardnpsmoodstavce"/>
    <w:uiPriority w:val="99"/>
    <w:unhideWhenUsed/>
    <w:rsid w:val="00422E01"/>
    <w:rPr>
      <w:color w:val="0000FF" w:themeColor="hyperlink"/>
      <w:u w:val="single"/>
    </w:rPr>
  </w:style>
  <w:style w:type="paragraph" w:styleId="Zhlav">
    <w:name w:val="header"/>
    <w:basedOn w:val="Normln"/>
    <w:link w:val="ZhlavChar"/>
    <w:uiPriority w:val="99"/>
    <w:unhideWhenUsed/>
    <w:rsid w:val="00834D2A"/>
    <w:pPr>
      <w:tabs>
        <w:tab w:val="center" w:pos="4536"/>
        <w:tab w:val="right" w:pos="9072"/>
      </w:tabs>
    </w:pPr>
  </w:style>
  <w:style w:type="character" w:customStyle="1" w:styleId="ZhlavChar">
    <w:name w:val="Záhlaví Char"/>
    <w:basedOn w:val="Standardnpsmoodstavce"/>
    <w:link w:val="Zhlav"/>
    <w:uiPriority w:val="99"/>
    <w:rsid w:val="00834D2A"/>
    <w:rPr>
      <w:sz w:val="24"/>
      <w:szCs w:val="24"/>
    </w:rPr>
  </w:style>
  <w:style w:type="paragraph" w:styleId="Zpat">
    <w:name w:val="footer"/>
    <w:basedOn w:val="Normln"/>
    <w:link w:val="ZpatChar"/>
    <w:uiPriority w:val="99"/>
    <w:unhideWhenUsed/>
    <w:rsid w:val="00834D2A"/>
    <w:pPr>
      <w:tabs>
        <w:tab w:val="center" w:pos="4536"/>
        <w:tab w:val="right" w:pos="9072"/>
      </w:tabs>
    </w:pPr>
  </w:style>
  <w:style w:type="character" w:customStyle="1" w:styleId="ZpatChar">
    <w:name w:val="Zápatí Char"/>
    <w:basedOn w:val="Standardnpsmoodstavce"/>
    <w:link w:val="Zpat"/>
    <w:uiPriority w:val="99"/>
    <w:rsid w:val="00834D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384835">
      <w:bodyDiv w:val="1"/>
      <w:marLeft w:val="0"/>
      <w:marRight w:val="0"/>
      <w:marTop w:val="0"/>
      <w:marBottom w:val="0"/>
      <w:divBdr>
        <w:top w:val="none" w:sz="0" w:space="0" w:color="auto"/>
        <w:left w:val="none" w:sz="0" w:space="0" w:color="auto"/>
        <w:bottom w:val="none" w:sz="0" w:space="0" w:color="auto"/>
        <w:right w:val="none" w:sz="0" w:space="0" w:color="auto"/>
      </w:divBdr>
    </w:div>
    <w:div w:id="804397807">
      <w:bodyDiv w:val="1"/>
      <w:marLeft w:val="0"/>
      <w:marRight w:val="0"/>
      <w:marTop w:val="0"/>
      <w:marBottom w:val="0"/>
      <w:divBdr>
        <w:top w:val="none" w:sz="0" w:space="0" w:color="auto"/>
        <w:left w:val="none" w:sz="0" w:space="0" w:color="auto"/>
        <w:bottom w:val="none" w:sz="0" w:space="0" w:color="auto"/>
        <w:right w:val="none" w:sz="0" w:space="0" w:color="auto"/>
      </w:divBdr>
    </w:div>
    <w:div w:id="993290555">
      <w:bodyDiv w:val="1"/>
      <w:marLeft w:val="0"/>
      <w:marRight w:val="0"/>
      <w:marTop w:val="0"/>
      <w:marBottom w:val="0"/>
      <w:divBdr>
        <w:top w:val="none" w:sz="0" w:space="0" w:color="auto"/>
        <w:left w:val="none" w:sz="0" w:space="0" w:color="auto"/>
        <w:bottom w:val="none" w:sz="0" w:space="0" w:color="auto"/>
        <w:right w:val="none" w:sz="0" w:space="0" w:color="auto"/>
      </w:divBdr>
    </w:div>
    <w:div w:id="1081414361">
      <w:bodyDiv w:val="1"/>
      <w:marLeft w:val="0"/>
      <w:marRight w:val="0"/>
      <w:marTop w:val="0"/>
      <w:marBottom w:val="0"/>
      <w:divBdr>
        <w:top w:val="none" w:sz="0" w:space="0" w:color="auto"/>
        <w:left w:val="none" w:sz="0" w:space="0" w:color="auto"/>
        <w:bottom w:val="none" w:sz="0" w:space="0" w:color="auto"/>
        <w:right w:val="none" w:sz="0" w:space="0" w:color="auto"/>
      </w:divBdr>
    </w:div>
    <w:div w:id="1200976428">
      <w:bodyDiv w:val="1"/>
      <w:marLeft w:val="0"/>
      <w:marRight w:val="0"/>
      <w:marTop w:val="0"/>
      <w:marBottom w:val="0"/>
      <w:divBdr>
        <w:top w:val="none" w:sz="0" w:space="0" w:color="auto"/>
        <w:left w:val="none" w:sz="0" w:space="0" w:color="auto"/>
        <w:bottom w:val="none" w:sz="0" w:space="0" w:color="auto"/>
        <w:right w:val="none" w:sz="0" w:space="0" w:color="auto"/>
      </w:divBdr>
    </w:div>
    <w:div w:id="1344357247">
      <w:bodyDiv w:val="1"/>
      <w:marLeft w:val="0"/>
      <w:marRight w:val="0"/>
      <w:marTop w:val="0"/>
      <w:marBottom w:val="0"/>
      <w:divBdr>
        <w:top w:val="none" w:sz="0" w:space="0" w:color="auto"/>
        <w:left w:val="none" w:sz="0" w:space="0" w:color="auto"/>
        <w:bottom w:val="none" w:sz="0" w:space="0" w:color="auto"/>
        <w:right w:val="none" w:sz="0" w:space="0" w:color="auto"/>
      </w:divBdr>
    </w:div>
    <w:div w:id="1398942434">
      <w:bodyDiv w:val="1"/>
      <w:marLeft w:val="0"/>
      <w:marRight w:val="0"/>
      <w:marTop w:val="0"/>
      <w:marBottom w:val="0"/>
      <w:divBdr>
        <w:top w:val="none" w:sz="0" w:space="0" w:color="auto"/>
        <w:left w:val="none" w:sz="0" w:space="0" w:color="auto"/>
        <w:bottom w:val="none" w:sz="0" w:space="0" w:color="auto"/>
        <w:right w:val="none" w:sz="0" w:space="0" w:color="auto"/>
      </w:divBdr>
    </w:div>
    <w:div w:id="1461992275">
      <w:marLeft w:val="0"/>
      <w:marRight w:val="0"/>
      <w:marTop w:val="0"/>
      <w:marBottom w:val="0"/>
      <w:divBdr>
        <w:top w:val="none" w:sz="0" w:space="0" w:color="auto"/>
        <w:left w:val="none" w:sz="0" w:space="0" w:color="auto"/>
        <w:bottom w:val="none" w:sz="0" w:space="0" w:color="auto"/>
        <w:right w:val="none" w:sz="0" w:space="0" w:color="auto"/>
      </w:divBdr>
    </w:div>
    <w:div w:id="1461992276">
      <w:marLeft w:val="0"/>
      <w:marRight w:val="0"/>
      <w:marTop w:val="0"/>
      <w:marBottom w:val="0"/>
      <w:divBdr>
        <w:top w:val="none" w:sz="0" w:space="0" w:color="auto"/>
        <w:left w:val="none" w:sz="0" w:space="0" w:color="auto"/>
        <w:bottom w:val="none" w:sz="0" w:space="0" w:color="auto"/>
        <w:right w:val="none" w:sz="0" w:space="0" w:color="auto"/>
      </w:divBdr>
    </w:div>
    <w:div w:id="1461992277">
      <w:marLeft w:val="0"/>
      <w:marRight w:val="0"/>
      <w:marTop w:val="0"/>
      <w:marBottom w:val="0"/>
      <w:divBdr>
        <w:top w:val="none" w:sz="0" w:space="0" w:color="auto"/>
        <w:left w:val="none" w:sz="0" w:space="0" w:color="auto"/>
        <w:bottom w:val="none" w:sz="0" w:space="0" w:color="auto"/>
        <w:right w:val="none" w:sz="0" w:space="0" w:color="auto"/>
      </w:divBdr>
    </w:div>
    <w:div w:id="1461992278">
      <w:marLeft w:val="0"/>
      <w:marRight w:val="0"/>
      <w:marTop w:val="0"/>
      <w:marBottom w:val="0"/>
      <w:divBdr>
        <w:top w:val="none" w:sz="0" w:space="0" w:color="auto"/>
        <w:left w:val="none" w:sz="0" w:space="0" w:color="auto"/>
        <w:bottom w:val="none" w:sz="0" w:space="0" w:color="auto"/>
        <w:right w:val="none" w:sz="0" w:space="0" w:color="auto"/>
      </w:divBdr>
    </w:div>
    <w:div w:id="1461992279">
      <w:marLeft w:val="0"/>
      <w:marRight w:val="0"/>
      <w:marTop w:val="0"/>
      <w:marBottom w:val="0"/>
      <w:divBdr>
        <w:top w:val="none" w:sz="0" w:space="0" w:color="auto"/>
        <w:left w:val="none" w:sz="0" w:space="0" w:color="auto"/>
        <w:bottom w:val="none" w:sz="0" w:space="0" w:color="auto"/>
        <w:right w:val="none" w:sz="0" w:space="0" w:color="auto"/>
      </w:divBdr>
    </w:div>
    <w:div w:id="1461992280">
      <w:marLeft w:val="0"/>
      <w:marRight w:val="0"/>
      <w:marTop w:val="0"/>
      <w:marBottom w:val="0"/>
      <w:divBdr>
        <w:top w:val="none" w:sz="0" w:space="0" w:color="auto"/>
        <w:left w:val="none" w:sz="0" w:space="0" w:color="auto"/>
        <w:bottom w:val="none" w:sz="0" w:space="0" w:color="auto"/>
        <w:right w:val="none" w:sz="0" w:space="0" w:color="auto"/>
      </w:divBdr>
    </w:div>
    <w:div w:id="1461992281">
      <w:marLeft w:val="0"/>
      <w:marRight w:val="0"/>
      <w:marTop w:val="0"/>
      <w:marBottom w:val="0"/>
      <w:divBdr>
        <w:top w:val="none" w:sz="0" w:space="0" w:color="auto"/>
        <w:left w:val="none" w:sz="0" w:space="0" w:color="auto"/>
        <w:bottom w:val="none" w:sz="0" w:space="0" w:color="auto"/>
        <w:right w:val="none" w:sz="0" w:space="0" w:color="auto"/>
      </w:divBdr>
    </w:div>
    <w:div w:id="182184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s.praha@aricom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ervis.praha@aricom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939\Desktop\Smlouva_kupn&#237;%20vzor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BB518-3DF7-43BC-A9E8-3D130DE4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Smlouva_kupní vzor_final</Template>
  <TotalTime>158</TotalTime>
  <Pages>17</Pages>
  <Words>5783</Words>
  <Characters>33555</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KUPNÍ SMLOUVA</vt:lpstr>
    </vt:vector>
  </TitlesOfParts>
  <Company>Ministerstvo financí</Company>
  <LinksUpToDate>false</LinksUpToDate>
  <CharactersWithSpaces>39260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Stehlíček Štěpán Mgr.</dc:creator>
  <cp:lastModifiedBy>Salvetová Růžena</cp:lastModifiedBy>
  <cp:revision>18</cp:revision>
  <cp:lastPrinted>2023-07-07T08:20:00Z</cp:lastPrinted>
  <dcterms:created xsi:type="dcterms:W3CDTF">2024-04-03T05:39:00Z</dcterms:created>
  <dcterms:modified xsi:type="dcterms:W3CDTF">2024-04-15T13:31:00Z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2024-03-25T12:41:40Z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c599517f-ca84-4079-9da8-ac34edf51bda</vt:lpwstr>
  </property>
  <property fmtid="{D5CDD505-2E9C-101B-9397-08002B2CF9AE}" pid="8" name="MSIP_Label_82a99ebc-0f39-4fac-abab-b8d6469272ed_ContentBits">
    <vt:lpwstr>0</vt:lpwstr>
  </property>
</Properties>
</file>