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E3B" w:rsidRPr="00AA3E3B" w:rsidRDefault="00AA3E3B" w:rsidP="00AA3E3B">
      <w:pPr>
        <w:spacing w:after="150" w:line="240" w:lineRule="auto"/>
        <w:jc w:val="both"/>
        <w:rPr>
          <w:rFonts w:ascii="Arial" w:eastAsia="Times New Roman" w:hAnsi="Arial" w:cs="Arial"/>
          <w:color w:val="000000"/>
          <w:sz w:val="24"/>
          <w:szCs w:val="24"/>
          <w:lang w:eastAsia="cs-CZ"/>
        </w:rPr>
      </w:pPr>
      <w:r w:rsidRPr="00AA3E3B">
        <w:rPr>
          <w:rFonts w:ascii="Arial" w:eastAsia="Times New Roman" w:hAnsi="Arial" w:cs="Arial"/>
          <w:color w:val="000000"/>
          <w:sz w:val="24"/>
          <w:szCs w:val="24"/>
          <w:lang w:eastAsia="cs-CZ"/>
        </w:rPr>
        <w:t xml:space="preserve">Ve druhé polovině 19. století, kdy bylo ve střední Evropě zavedeno povinné nemocenské pojištění zaměstnanců. V habsburské monarchii se první vlaštovka tohoto typu objevila v živnostenském zákoně v roce 1859 a v roce 1888 bylo nemocenské pojištění zaměstnanců zavedeno plošně. Jeho konstrukce byla obdobou reformy sociálního systému v sousedním Prusku, která proběhla mezi lety 1881 až 1889 za kancléřování Otty von Bismarcka. Od té doby je jeho jméno spojováno s </w:t>
      </w:r>
      <w:proofErr w:type="spellStart"/>
      <w:r w:rsidRPr="00AA3E3B">
        <w:rPr>
          <w:rFonts w:ascii="Arial" w:eastAsia="Times New Roman" w:hAnsi="Arial" w:cs="Arial"/>
          <w:color w:val="000000"/>
          <w:sz w:val="24"/>
          <w:szCs w:val="24"/>
          <w:lang w:eastAsia="cs-CZ"/>
        </w:rPr>
        <w:t>pojišťovenským</w:t>
      </w:r>
      <w:proofErr w:type="spellEnd"/>
      <w:r w:rsidRPr="00AA3E3B">
        <w:rPr>
          <w:rFonts w:ascii="Arial" w:eastAsia="Times New Roman" w:hAnsi="Arial" w:cs="Arial"/>
          <w:color w:val="000000"/>
          <w:sz w:val="24"/>
          <w:szCs w:val="24"/>
          <w:lang w:eastAsia="cs-CZ"/>
        </w:rPr>
        <w:t xml:space="preserve"> modelem financování zdravotní péče.</w:t>
      </w:r>
    </w:p>
    <w:p w:rsidR="00AA3E3B" w:rsidRPr="00AA3E3B" w:rsidRDefault="00AA3E3B" w:rsidP="00AA3E3B">
      <w:pPr>
        <w:spacing w:before="150" w:after="150" w:line="240" w:lineRule="auto"/>
        <w:jc w:val="both"/>
        <w:rPr>
          <w:rFonts w:ascii="Arial" w:eastAsia="Times New Roman" w:hAnsi="Arial" w:cs="Arial"/>
          <w:color w:val="000000"/>
          <w:sz w:val="24"/>
          <w:szCs w:val="24"/>
          <w:lang w:eastAsia="cs-CZ"/>
        </w:rPr>
      </w:pPr>
      <w:r w:rsidRPr="00AA3E3B">
        <w:rPr>
          <w:rFonts w:ascii="Arial" w:eastAsia="Times New Roman" w:hAnsi="Arial" w:cs="Arial"/>
          <w:color w:val="000000"/>
          <w:sz w:val="24"/>
          <w:szCs w:val="24"/>
          <w:lang w:eastAsia="cs-CZ"/>
        </w:rPr>
        <w:t>Nemocenské pojištění se nezrodilo z potřeby zajistit solidaritu zdravých s nemocnými, bohatých s chudými a mladých se staršími v dostupnosti zdravotní péče, ale aby pokrylo základní životní potřeby rodiny nemocného nebo zraněného zaměstnance. Průmyslová revoluce odvedla lidi z jejich původního prostředí, které by se o ně v době nemoci postaralo, do anonymity průmyslových aglomerací. K proplácení zdravotní péče z nemocenské došlo jaksi mimochodem - nemocenské pokladny platily lékařům, aby marody vraceli co nejdříve do pracovního procesu a hlídali dobu vyplácení nemocenské.</w:t>
      </w:r>
    </w:p>
    <w:p w:rsidR="00AA3E3B" w:rsidRPr="00AA3E3B" w:rsidRDefault="00AA3E3B" w:rsidP="00AA3E3B">
      <w:pPr>
        <w:spacing w:before="150" w:after="240" w:line="240" w:lineRule="auto"/>
        <w:jc w:val="both"/>
        <w:rPr>
          <w:rFonts w:ascii="Arial" w:eastAsia="Times New Roman" w:hAnsi="Arial" w:cs="Arial"/>
          <w:color w:val="000000"/>
          <w:sz w:val="24"/>
          <w:szCs w:val="24"/>
          <w:lang w:eastAsia="cs-CZ"/>
        </w:rPr>
      </w:pPr>
      <w:r w:rsidRPr="00AA3E3B">
        <w:rPr>
          <w:rFonts w:ascii="Arial" w:eastAsia="Times New Roman" w:hAnsi="Arial" w:cs="Arial"/>
          <w:color w:val="000000"/>
          <w:sz w:val="24"/>
          <w:szCs w:val="24"/>
          <w:lang w:eastAsia="cs-CZ"/>
        </w:rPr>
        <w:t>Náklady na zdravotní péči hrazené z nemocenského pojištění postupně stoupaly, ale přesto ještě před druhou světovou válkou nepřesáhly třetinu pokladnami vydávaných prostředků. Dnes jsou náklady na zdravotní péči osminásobkem částky spravované nemocenským pojištěním.</w:t>
      </w:r>
    </w:p>
    <w:p w:rsidR="00AA3E3B" w:rsidRPr="00AA3E3B" w:rsidRDefault="00AA3E3B" w:rsidP="00AA3E3B">
      <w:pPr>
        <w:spacing w:before="150" w:after="150" w:line="240" w:lineRule="auto"/>
        <w:rPr>
          <w:rFonts w:ascii="Arial" w:eastAsia="Times New Roman" w:hAnsi="Arial" w:cs="Arial"/>
          <w:color w:val="000000"/>
          <w:sz w:val="24"/>
          <w:szCs w:val="24"/>
          <w:lang w:eastAsia="cs-CZ"/>
        </w:rPr>
      </w:pPr>
      <w:r w:rsidRPr="00AA3E3B">
        <w:rPr>
          <w:rFonts w:ascii="Arial" w:eastAsia="Times New Roman" w:hAnsi="Arial" w:cs="Arial"/>
          <w:b/>
          <w:bCs/>
          <w:color w:val="000000"/>
          <w:sz w:val="24"/>
          <w:szCs w:val="24"/>
          <w:lang w:eastAsia="cs-CZ"/>
        </w:rPr>
        <w:t>Zdravotní trh je specifický</w:t>
      </w:r>
      <w:r w:rsidRPr="00AA3E3B">
        <w:rPr>
          <w:rFonts w:ascii="Arial" w:eastAsia="Times New Roman" w:hAnsi="Arial" w:cs="Arial"/>
          <w:b/>
          <w:bCs/>
          <w:color w:val="000000"/>
          <w:sz w:val="24"/>
          <w:szCs w:val="24"/>
          <w:lang w:eastAsia="cs-CZ"/>
        </w:rPr>
        <w:br/>
      </w:r>
      <w:r w:rsidRPr="00AA3E3B">
        <w:rPr>
          <w:rFonts w:ascii="Arial" w:eastAsia="Times New Roman" w:hAnsi="Arial" w:cs="Arial"/>
          <w:color w:val="000000"/>
          <w:sz w:val="24"/>
          <w:szCs w:val="24"/>
          <w:lang w:eastAsia="cs-CZ"/>
        </w:rPr>
        <w:br/>
        <w:t xml:space="preserve">Po druhé světové válce převládly ve zdravotnictví evropských zemí tři cíle - obnovit jeho standardní chod poznamenaný nečekaně vysokými válečnými náklady, využít dostupných prostředků k prevenci šíření přenosných nemocí a zpřístupnit zdravotní péči všem vrstvám obyvatelstva. V zemích, které spadly do sféry Moskvy, to znamenalo přechod na </w:t>
      </w:r>
      <w:proofErr w:type="spellStart"/>
      <w:r w:rsidRPr="00AA3E3B">
        <w:rPr>
          <w:rFonts w:ascii="Arial" w:eastAsia="Times New Roman" w:hAnsi="Arial" w:cs="Arial"/>
          <w:color w:val="000000"/>
          <w:sz w:val="24"/>
          <w:szCs w:val="24"/>
          <w:lang w:eastAsia="cs-CZ"/>
        </w:rPr>
        <w:t>Semaškův</w:t>
      </w:r>
      <w:proofErr w:type="spellEnd"/>
      <w:r w:rsidRPr="00AA3E3B">
        <w:rPr>
          <w:rFonts w:ascii="Arial" w:eastAsia="Times New Roman" w:hAnsi="Arial" w:cs="Arial"/>
          <w:color w:val="000000"/>
          <w:sz w:val="24"/>
          <w:szCs w:val="24"/>
          <w:lang w:eastAsia="cs-CZ"/>
        </w:rPr>
        <w:t xml:space="preserve"> model státního zdravotnictví, a u těch ostatních bylo rozhodující, zda již měly nebo neměly zavedený povinný systém sociálního pojištění.</w:t>
      </w:r>
    </w:p>
    <w:p w:rsidR="00AA3E3B" w:rsidRPr="00AA3E3B" w:rsidRDefault="00AA3E3B" w:rsidP="00AA3E3B">
      <w:pPr>
        <w:spacing w:before="150" w:after="150" w:line="240" w:lineRule="auto"/>
        <w:jc w:val="both"/>
        <w:rPr>
          <w:rFonts w:ascii="Arial" w:eastAsia="Times New Roman" w:hAnsi="Arial" w:cs="Arial"/>
          <w:color w:val="000000"/>
          <w:sz w:val="24"/>
          <w:szCs w:val="24"/>
          <w:lang w:eastAsia="cs-CZ"/>
        </w:rPr>
      </w:pPr>
      <w:r w:rsidRPr="00AA3E3B">
        <w:rPr>
          <w:rFonts w:ascii="Arial" w:eastAsia="Times New Roman" w:hAnsi="Arial" w:cs="Arial"/>
          <w:color w:val="000000"/>
          <w:sz w:val="24"/>
          <w:szCs w:val="24"/>
          <w:lang w:eastAsia="cs-CZ"/>
        </w:rPr>
        <w:t xml:space="preserve">Ty s Bismarckovým </w:t>
      </w:r>
      <w:proofErr w:type="spellStart"/>
      <w:r w:rsidRPr="00AA3E3B">
        <w:rPr>
          <w:rFonts w:ascii="Arial" w:eastAsia="Times New Roman" w:hAnsi="Arial" w:cs="Arial"/>
          <w:color w:val="000000"/>
          <w:sz w:val="24"/>
          <w:szCs w:val="24"/>
          <w:lang w:eastAsia="cs-CZ"/>
        </w:rPr>
        <w:t>pojišťovenským</w:t>
      </w:r>
      <w:proofErr w:type="spellEnd"/>
      <w:r w:rsidRPr="00AA3E3B">
        <w:rPr>
          <w:rFonts w:ascii="Arial" w:eastAsia="Times New Roman" w:hAnsi="Arial" w:cs="Arial"/>
          <w:color w:val="000000"/>
          <w:sz w:val="24"/>
          <w:szCs w:val="24"/>
          <w:lang w:eastAsia="cs-CZ"/>
        </w:rPr>
        <w:t xml:space="preserve"> modelem u něj zůstaly, ostatní začaly po vzoru Velké Británie zavádět tzv. </w:t>
      </w:r>
      <w:proofErr w:type="spellStart"/>
      <w:r w:rsidRPr="00AA3E3B">
        <w:rPr>
          <w:rFonts w:ascii="Arial" w:eastAsia="Times New Roman" w:hAnsi="Arial" w:cs="Arial"/>
          <w:color w:val="000000"/>
          <w:sz w:val="24"/>
          <w:szCs w:val="24"/>
          <w:lang w:eastAsia="cs-CZ"/>
        </w:rPr>
        <w:t>Beveridgeův</w:t>
      </w:r>
      <w:proofErr w:type="spellEnd"/>
      <w:r w:rsidRPr="00AA3E3B">
        <w:rPr>
          <w:rFonts w:ascii="Arial" w:eastAsia="Times New Roman" w:hAnsi="Arial" w:cs="Arial"/>
          <w:color w:val="000000"/>
          <w:sz w:val="24"/>
          <w:szCs w:val="24"/>
          <w:lang w:eastAsia="cs-CZ"/>
        </w:rPr>
        <w:t xml:space="preserve"> model národní zdravotní služby. Baron William </w:t>
      </w:r>
      <w:proofErr w:type="spellStart"/>
      <w:r w:rsidRPr="00AA3E3B">
        <w:rPr>
          <w:rFonts w:ascii="Arial" w:eastAsia="Times New Roman" w:hAnsi="Arial" w:cs="Arial"/>
          <w:color w:val="000000"/>
          <w:sz w:val="24"/>
          <w:szCs w:val="24"/>
          <w:lang w:eastAsia="cs-CZ"/>
        </w:rPr>
        <w:t>Beveridge</w:t>
      </w:r>
      <w:proofErr w:type="spellEnd"/>
      <w:r w:rsidRPr="00AA3E3B">
        <w:rPr>
          <w:rFonts w:ascii="Arial" w:eastAsia="Times New Roman" w:hAnsi="Arial" w:cs="Arial"/>
          <w:color w:val="000000"/>
          <w:sz w:val="24"/>
          <w:szCs w:val="24"/>
          <w:lang w:eastAsia="cs-CZ"/>
        </w:rPr>
        <w:t xml:space="preserve"> předložil svůj návrh britské vládě v roce 1942 a na jeho základě byla v roce 1948 zřízena britská NHS. Tento model posléze přejímaly státy, které tvoří prstenec kolem </w:t>
      </w:r>
      <w:proofErr w:type="spellStart"/>
      <w:r w:rsidRPr="00AA3E3B">
        <w:rPr>
          <w:rFonts w:ascii="Arial" w:eastAsia="Times New Roman" w:hAnsi="Arial" w:cs="Arial"/>
          <w:color w:val="000000"/>
          <w:sz w:val="24"/>
          <w:szCs w:val="24"/>
          <w:lang w:eastAsia="cs-CZ"/>
        </w:rPr>
        <w:t>bismarckovského</w:t>
      </w:r>
      <w:proofErr w:type="spellEnd"/>
      <w:r w:rsidRPr="00AA3E3B">
        <w:rPr>
          <w:rFonts w:ascii="Arial" w:eastAsia="Times New Roman" w:hAnsi="Arial" w:cs="Arial"/>
          <w:color w:val="000000"/>
          <w:sz w:val="24"/>
          <w:szCs w:val="24"/>
          <w:lang w:eastAsia="cs-CZ"/>
        </w:rPr>
        <w:t xml:space="preserve"> jádra Evropy - celá Skandinávie, Portugalsko, Španělsko, Itálie a Řecko. V sedmdesátých letech minulého století začaly mít všechny tyto zdravotnické systémy problémy s růstem nákladů spojeným se vstupem nových technologií do medicíny.</w:t>
      </w:r>
    </w:p>
    <w:p w:rsidR="00AA3E3B" w:rsidRPr="00AA3E3B" w:rsidRDefault="00AA3E3B" w:rsidP="00AA3E3B">
      <w:pPr>
        <w:spacing w:before="150" w:after="150" w:line="240" w:lineRule="auto"/>
        <w:jc w:val="both"/>
        <w:rPr>
          <w:rFonts w:ascii="Arial" w:eastAsia="Times New Roman" w:hAnsi="Arial" w:cs="Arial"/>
          <w:color w:val="000000"/>
          <w:sz w:val="24"/>
          <w:szCs w:val="24"/>
          <w:lang w:eastAsia="cs-CZ"/>
        </w:rPr>
      </w:pPr>
      <w:r w:rsidRPr="00AA3E3B">
        <w:rPr>
          <w:rFonts w:ascii="Arial" w:eastAsia="Times New Roman" w:hAnsi="Arial" w:cs="Arial"/>
          <w:color w:val="000000"/>
          <w:sz w:val="24"/>
          <w:szCs w:val="24"/>
          <w:lang w:eastAsia="cs-CZ"/>
        </w:rPr>
        <w:t>Navíc se obtížně orientovaly v rostoucí rozrůzněnosti medicíny, která začala lékařům nabízet různé alternativy ve vyšetřování a léčení jejich pacientů. Po systémech financování zdravotní péče, vytvořených v dobách laciné medicíny, se najednou chtělo, aby místo prostého proplácení poskytnuté péče začaly ovlivňovat efekt a kvalitu jejího samotného poskytování. To se jim bez vlastní vnitřní reformy nedařilo, a tak bylo po dvě desetiletí hlavním tématem zadržování růstu nákladů pomocí restrikcí kapacit, rozpočtových stropů a podobných nástrojů.</w:t>
      </w:r>
    </w:p>
    <w:p w:rsidR="00AA3E3B" w:rsidRPr="00AA3E3B" w:rsidRDefault="00AA3E3B" w:rsidP="00AA3E3B">
      <w:pPr>
        <w:spacing w:before="150" w:after="150" w:line="240" w:lineRule="auto"/>
        <w:jc w:val="both"/>
        <w:rPr>
          <w:rFonts w:ascii="Arial" w:eastAsia="Times New Roman" w:hAnsi="Arial" w:cs="Arial"/>
          <w:color w:val="000000"/>
          <w:sz w:val="24"/>
          <w:szCs w:val="24"/>
          <w:lang w:eastAsia="cs-CZ"/>
        </w:rPr>
      </w:pPr>
      <w:r w:rsidRPr="00AA3E3B">
        <w:rPr>
          <w:rFonts w:ascii="Arial" w:eastAsia="Times New Roman" w:hAnsi="Arial" w:cs="Arial"/>
          <w:color w:val="000000"/>
          <w:sz w:val="24"/>
          <w:szCs w:val="24"/>
          <w:lang w:eastAsia="cs-CZ"/>
        </w:rPr>
        <w:t xml:space="preserve">V devadesátých letech začalo být zřejmé, že beze změny paradigmatu se dále nepohneme, a od té doby se zdravotní systémy postupně reformují. Kroky prováděné v jednotlivých státech se vzájemně liší, ale jejich směřování je zřejmé - míří od přídělových systémů k regulovanému trhu. Pacienti a občané se posouvají z pozice </w:t>
      </w:r>
      <w:r w:rsidRPr="00AA3E3B">
        <w:rPr>
          <w:rFonts w:ascii="Arial" w:eastAsia="Times New Roman" w:hAnsi="Arial" w:cs="Arial"/>
          <w:color w:val="000000"/>
          <w:sz w:val="24"/>
          <w:szCs w:val="24"/>
          <w:lang w:eastAsia="cs-CZ"/>
        </w:rPr>
        <w:lastRenderedPageBreak/>
        <w:t>pasivních konzumentů do aktivnější zákaznické role, lékaři ve svém rozhodování berou v potaz preference pacientů, pojišťovny přebírají aktivní odpovědnost za správu svěřených prostředků a státní správa se postupně stahuje z přímého poskytování zdravotních služeb i z jejich financování a zaměřuje se na zkvalitnění výkonu své nezastupitelné role regulátora a kontrolora.</w:t>
      </w:r>
    </w:p>
    <w:p w:rsidR="00AA3E3B" w:rsidRPr="00AA3E3B" w:rsidRDefault="00AA3E3B" w:rsidP="00AA3E3B">
      <w:pPr>
        <w:spacing w:before="150" w:after="150" w:line="240" w:lineRule="auto"/>
        <w:jc w:val="both"/>
        <w:rPr>
          <w:rFonts w:ascii="Arial" w:eastAsia="Times New Roman" w:hAnsi="Arial" w:cs="Arial"/>
          <w:color w:val="000000"/>
          <w:sz w:val="24"/>
          <w:szCs w:val="24"/>
          <w:lang w:eastAsia="cs-CZ"/>
        </w:rPr>
      </w:pPr>
      <w:r w:rsidRPr="00AA3E3B">
        <w:rPr>
          <w:rFonts w:ascii="Arial" w:eastAsia="Times New Roman" w:hAnsi="Arial" w:cs="Arial"/>
          <w:color w:val="000000"/>
          <w:sz w:val="24"/>
          <w:szCs w:val="24"/>
          <w:lang w:eastAsia="cs-CZ"/>
        </w:rPr>
        <w:t>Snad ještě pár slov k pojmu "regulovaný trh" pro ty, kdo buďto vyznávají trh bez přívlastků, nebo jej naopak zatracují. Trh je zavedeným způsobem výběru nejlepších řešení, stejně jako nástrojem stimulujícím efektivitu a kvalitu. Sám o sobě by jistě dokázal zajistit báječné zdravotnictví, ale nikoli pro každého. Na rozdíl od standardních trhů máme jako zákazníci toho zdravotního velmi rozdílné výchozí podmínky, které jsou více než obsahem našich peněženek dány naším zdravotním stavem.</w:t>
      </w:r>
    </w:p>
    <w:p w:rsidR="00AA3E3B" w:rsidRPr="00AA3E3B" w:rsidRDefault="00AA3E3B" w:rsidP="00AA3E3B">
      <w:pPr>
        <w:spacing w:before="150" w:after="240" w:line="240" w:lineRule="auto"/>
        <w:jc w:val="both"/>
        <w:rPr>
          <w:rFonts w:ascii="Arial" w:eastAsia="Times New Roman" w:hAnsi="Arial" w:cs="Arial"/>
          <w:color w:val="000000"/>
          <w:sz w:val="24"/>
          <w:szCs w:val="24"/>
          <w:lang w:eastAsia="cs-CZ"/>
        </w:rPr>
      </w:pPr>
      <w:r w:rsidRPr="00AA3E3B">
        <w:rPr>
          <w:rFonts w:ascii="Arial" w:eastAsia="Times New Roman" w:hAnsi="Arial" w:cs="Arial"/>
          <w:color w:val="000000"/>
          <w:sz w:val="24"/>
          <w:szCs w:val="24"/>
          <w:lang w:eastAsia="cs-CZ"/>
        </w:rPr>
        <w:t>Náklady na léčení některých nemocí jsou tak vysoké, že by si je mohli dovolit zaplatit jen nejbohatší z nás, takže trh bez přívlastků by učinil potřebnou zdravotní péči nedostupnou části populace. V našem kulturním prostředí to je nepřijatelné, a tak musí ve veřejném zájmu vstoupit do trhu ve zdravotnictví regulace, aby co nejvíce potlačily dopady rozdílných zdravotních rizik na jejich nositele. Základním smyslem regulací je zajistit stejnou startovní pozici ve vztahu k potřebné péči všem občanům dané země. Nu a obsahem všech zdravotnických reforem je ladění regulací tak, aby v konečném důsledku kočírovaly tržní síly lépe než ty dosavadní.</w:t>
      </w:r>
    </w:p>
    <w:p w:rsidR="00AA3E3B" w:rsidRPr="00AA3E3B" w:rsidRDefault="00AA3E3B" w:rsidP="00AA3E3B">
      <w:pPr>
        <w:spacing w:before="150" w:after="150" w:line="240" w:lineRule="auto"/>
        <w:rPr>
          <w:rFonts w:ascii="Arial" w:eastAsia="Times New Roman" w:hAnsi="Arial" w:cs="Arial"/>
          <w:color w:val="000000"/>
          <w:sz w:val="24"/>
          <w:szCs w:val="24"/>
          <w:lang w:eastAsia="cs-CZ"/>
        </w:rPr>
      </w:pPr>
      <w:r w:rsidRPr="00AA3E3B">
        <w:rPr>
          <w:rFonts w:ascii="Arial" w:eastAsia="Times New Roman" w:hAnsi="Arial" w:cs="Arial"/>
          <w:b/>
          <w:bCs/>
          <w:color w:val="000000"/>
          <w:sz w:val="24"/>
          <w:szCs w:val="24"/>
          <w:lang w:eastAsia="cs-CZ"/>
        </w:rPr>
        <w:t>Zdravotnický trojúhelník</w:t>
      </w:r>
      <w:r w:rsidRPr="00AA3E3B">
        <w:rPr>
          <w:rFonts w:ascii="Arial" w:eastAsia="Times New Roman" w:hAnsi="Arial" w:cs="Arial"/>
          <w:color w:val="000000"/>
          <w:sz w:val="24"/>
          <w:szCs w:val="24"/>
          <w:lang w:eastAsia="cs-CZ"/>
        </w:rPr>
        <w:br/>
      </w:r>
      <w:r w:rsidRPr="00AA3E3B">
        <w:rPr>
          <w:rFonts w:ascii="Arial" w:eastAsia="Times New Roman" w:hAnsi="Arial" w:cs="Arial"/>
          <w:color w:val="000000"/>
          <w:sz w:val="24"/>
          <w:szCs w:val="24"/>
          <w:lang w:eastAsia="cs-CZ"/>
        </w:rPr>
        <w:br/>
        <w:t>V moderních zdravotních systémech putuje většina prostředků od občanů k plátcům "třetí strany" (prvou stranou se rozumí občan/ pacient a druhou poskytovatel zdravotní péče) a na této úrovni jsou peníze sdruženy a přerozděleny mezi jednotlivé plátce třetí strany podle míry rizika zajišťované populace.</w:t>
      </w:r>
    </w:p>
    <w:p w:rsidR="00AA3E3B" w:rsidRPr="00AA3E3B" w:rsidRDefault="00AA3E3B" w:rsidP="00AA3E3B">
      <w:pPr>
        <w:spacing w:before="150" w:after="150" w:line="240" w:lineRule="auto"/>
        <w:jc w:val="both"/>
        <w:rPr>
          <w:rFonts w:ascii="Arial" w:eastAsia="Times New Roman" w:hAnsi="Arial" w:cs="Arial"/>
          <w:color w:val="000000"/>
          <w:sz w:val="24"/>
          <w:szCs w:val="24"/>
          <w:lang w:eastAsia="cs-CZ"/>
        </w:rPr>
      </w:pPr>
      <w:r w:rsidRPr="00AA3E3B">
        <w:rPr>
          <w:rFonts w:ascii="Arial" w:eastAsia="Times New Roman" w:hAnsi="Arial" w:cs="Arial"/>
          <w:color w:val="000000"/>
          <w:sz w:val="24"/>
          <w:szCs w:val="24"/>
          <w:lang w:eastAsia="cs-CZ"/>
        </w:rPr>
        <w:t>Plátce třetí strany pak za tyto prostředky nakupuje pro své ovečky zdravotní služby u poskytovatelů zdravotní péče. Zakoupené zdravotní služby čerpají občané ve chvílích, kdy se stanou pacienty, a z vlastní kapsy na ně občas přispějí.</w:t>
      </w:r>
    </w:p>
    <w:p w:rsidR="00AA3E3B" w:rsidRPr="00AA3E3B" w:rsidRDefault="00AA3E3B" w:rsidP="00AA3E3B">
      <w:pPr>
        <w:spacing w:before="150" w:after="240" w:line="240" w:lineRule="auto"/>
        <w:jc w:val="both"/>
        <w:rPr>
          <w:rFonts w:ascii="Arial" w:eastAsia="Times New Roman" w:hAnsi="Arial" w:cs="Arial"/>
          <w:color w:val="000000"/>
          <w:sz w:val="24"/>
          <w:szCs w:val="24"/>
          <w:lang w:eastAsia="cs-CZ"/>
        </w:rPr>
      </w:pPr>
      <w:r w:rsidRPr="00AA3E3B">
        <w:rPr>
          <w:rFonts w:ascii="Arial" w:eastAsia="Times New Roman" w:hAnsi="Arial" w:cs="Arial"/>
          <w:color w:val="000000"/>
          <w:sz w:val="24"/>
          <w:szCs w:val="24"/>
          <w:lang w:eastAsia="cs-CZ"/>
        </w:rPr>
        <w:t>Přímé platby mají v sociálních systémech spíše charakter regulace omezující morální hazard související s bezplatností, než aby sloužily jako významný úhradový mechanismus.</w:t>
      </w:r>
    </w:p>
    <w:p w:rsidR="00AA3E3B" w:rsidRPr="00AA3E3B" w:rsidRDefault="00AA3E3B" w:rsidP="00AA3E3B">
      <w:pPr>
        <w:spacing w:before="150" w:after="150" w:line="240" w:lineRule="auto"/>
        <w:rPr>
          <w:rFonts w:ascii="Arial" w:eastAsia="Times New Roman" w:hAnsi="Arial" w:cs="Arial"/>
          <w:color w:val="000000"/>
          <w:sz w:val="24"/>
          <w:szCs w:val="24"/>
          <w:lang w:eastAsia="cs-CZ"/>
        </w:rPr>
      </w:pPr>
      <w:r w:rsidRPr="00AA3E3B">
        <w:rPr>
          <w:rFonts w:ascii="Arial" w:eastAsia="Times New Roman" w:hAnsi="Arial" w:cs="Arial"/>
          <w:b/>
          <w:bCs/>
          <w:color w:val="000000"/>
          <w:sz w:val="24"/>
          <w:szCs w:val="24"/>
          <w:lang w:eastAsia="cs-CZ"/>
        </w:rPr>
        <w:t>Výběr prostředků</w:t>
      </w:r>
      <w:r w:rsidRPr="00AA3E3B">
        <w:rPr>
          <w:rFonts w:ascii="Arial" w:eastAsia="Times New Roman" w:hAnsi="Arial" w:cs="Arial"/>
          <w:color w:val="000000"/>
          <w:sz w:val="24"/>
          <w:szCs w:val="24"/>
          <w:lang w:eastAsia="cs-CZ"/>
        </w:rPr>
        <w:br/>
      </w:r>
      <w:r w:rsidRPr="00AA3E3B">
        <w:rPr>
          <w:rFonts w:ascii="Arial" w:eastAsia="Times New Roman" w:hAnsi="Arial" w:cs="Arial"/>
          <w:color w:val="000000"/>
          <w:sz w:val="24"/>
          <w:szCs w:val="24"/>
          <w:lang w:eastAsia="cs-CZ"/>
        </w:rPr>
        <w:br/>
        <w:t xml:space="preserve">Peníze na zdravotnictví se generují ze tří základních typů zdrojů. Za prvé od jednotlivců jako zaměstnanců nebo samostatně výdělečných osob, popřípadě v některých </w:t>
      </w:r>
      <w:proofErr w:type="gramStart"/>
      <w:r w:rsidRPr="00AA3E3B">
        <w:rPr>
          <w:rFonts w:ascii="Arial" w:eastAsia="Times New Roman" w:hAnsi="Arial" w:cs="Arial"/>
          <w:color w:val="000000"/>
          <w:sz w:val="24"/>
          <w:szCs w:val="24"/>
          <w:lang w:eastAsia="cs-CZ"/>
        </w:rPr>
        <w:t>státech</w:t>
      </w:r>
      <w:proofErr w:type="gramEnd"/>
      <w:r w:rsidRPr="00AA3E3B">
        <w:rPr>
          <w:rFonts w:ascii="Arial" w:eastAsia="Times New Roman" w:hAnsi="Arial" w:cs="Arial"/>
          <w:color w:val="000000"/>
          <w:sz w:val="24"/>
          <w:szCs w:val="24"/>
          <w:lang w:eastAsia="cs-CZ"/>
        </w:rPr>
        <w:t xml:space="preserve"> seskupených pod nálepkou rodiny nebo domácnosti.</w:t>
      </w:r>
    </w:p>
    <w:p w:rsidR="00AA3E3B" w:rsidRPr="00AA3E3B" w:rsidRDefault="00AA3E3B" w:rsidP="00AA3E3B">
      <w:pPr>
        <w:spacing w:before="150" w:after="150" w:line="240" w:lineRule="auto"/>
        <w:jc w:val="both"/>
        <w:rPr>
          <w:rFonts w:ascii="Arial" w:eastAsia="Times New Roman" w:hAnsi="Arial" w:cs="Arial"/>
          <w:color w:val="000000"/>
          <w:sz w:val="24"/>
          <w:szCs w:val="24"/>
          <w:lang w:eastAsia="cs-CZ"/>
        </w:rPr>
      </w:pPr>
      <w:r w:rsidRPr="00AA3E3B">
        <w:rPr>
          <w:rFonts w:ascii="Arial" w:eastAsia="Times New Roman" w:hAnsi="Arial" w:cs="Arial"/>
          <w:color w:val="000000"/>
          <w:sz w:val="24"/>
          <w:szCs w:val="24"/>
          <w:lang w:eastAsia="cs-CZ"/>
        </w:rPr>
        <w:t>Druhou skupinu tvoří korporace, odvádějící vedle daní také platby za své zaměstnance, a konečně třetím zdrojem jsou prostředky shromážděné nestátními organizacemi, charitou nebo poskytnuté ze zahraničí. U nás je tento třetí zdroj pouze okrajový, ale například zdravotnictví některých afrických zemí je na něm téměř výlučně závislé.</w:t>
      </w:r>
    </w:p>
    <w:p w:rsidR="00AA3E3B" w:rsidRPr="00AA3E3B" w:rsidRDefault="00AA3E3B" w:rsidP="00AA3E3B">
      <w:pPr>
        <w:spacing w:before="150" w:after="150" w:line="240" w:lineRule="auto"/>
        <w:rPr>
          <w:rFonts w:ascii="Arial" w:eastAsia="Times New Roman" w:hAnsi="Arial" w:cs="Arial"/>
          <w:color w:val="000000"/>
          <w:sz w:val="24"/>
          <w:szCs w:val="24"/>
          <w:lang w:eastAsia="cs-CZ"/>
        </w:rPr>
      </w:pPr>
      <w:r w:rsidRPr="00AA3E3B">
        <w:rPr>
          <w:rFonts w:ascii="Arial" w:eastAsia="Times New Roman" w:hAnsi="Arial" w:cs="Arial"/>
          <w:color w:val="000000"/>
          <w:sz w:val="24"/>
          <w:szCs w:val="24"/>
          <w:lang w:eastAsia="cs-CZ"/>
        </w:rPr>
        <w:t>Peníze mohou být vybírány:</w:t>
      </w:r>
      <w:r w:rsidRPr="00AA3E3B">
        <w:rPr>
          <w:rFonts w:ascii="Arial" w:eastAsia="Times New Roman" w:hAnsi="Arial" w:cs="Arial"/>
          <w:color w:val="000000"/>
          <w:sz w:val="24"/>
          <w:szCs w:val="24"/>
          <w:lang w:eastAsia="cs-CZ"/>
        </w:rPr>
        <w:br/>
        <w:t>* vládou, ať již centrální, regionální nebo místní</w:t>
      </w:r>
      <w:r w:rsidRPr="00AA3E3B">
        <w:rPr>
          <w:rFonts w:ascii="Arial" w:eastAsia="Times New Roman" w:hAnsi="Arial" w:cs="Arial"/>
          <w:color w:val="000000"/>
          <w:sz w:val="24"/>
          <w:szCs w:val="24"/>
          <w:lang w:eastAsia="cs-CZ"/>
        </w:rPr>
        <w:br/>
        <w:t>* nezávislou veřejnou institucí či správou sociálního zabezpečení</w:t>
      </w:r>
      <w:r w:rsidRPr="00AA3E3B">
        <w:rPr>
          <w:rFonts w:ascii="Arial" w:eastAsia="Times New Roman" w:hAnsi="Arial" w:cs="Arial"/>
          <w:color w:val="000000"/>
          <w:sz w:val="24"/>
          <w:szCs w:val="24"/>
          <w:lang w:eastAsia="cs-CZ"/>
        </w:rPr>
        <w:br/>
      </w:r>
      <w:r w:rsidRPr="00AA3E3B">
        <w:rPr>
          <w:rFonts w:ascii="Arial" w:eastAsia="Times New Roman" w:hAnsi="Arial" w:cs="Arial"/>
          <w:color w:val="000000"/>
          <w:sz w:val="24"/>
          <w:szCs w:val="24"/>
          <w:lang w:eastAsia="cs-CZ"/>
        </w:rPr>
        <w:lastRenderedPageBreak/>
        <w:t>* soukromou neziskovou pojišťovnou</w:t>
      </w:r>
      <w:r w:rsidRPr="00AA3E3B">
        <w:rPr>
          <w:rFonts w:ascii="Arial" w:eastAsia="Times New Roman" w:hAnsi="Arial" w:cs="Arial"/>
          <w:color w:val="000000"/>
          <w:sz w:val="24"/>
          <w:szCs w:val="24"/>
          <w:lang w:eastAsia="cs-CZ"/>
        </w:rPr>
        <w:br/>
        <w:t>* soukromou ziskovou pojišťovnou</w:t>
      </w:r>
      <w:r w:rsidRPr="00AA3E3B">
        <w:rPr>
          <w:rFonts w:ascii="Arial" w:eastAsia="Times New Roman" w:hAnsi="Arial" w:cs="Arial"/>
          <w:color w:val="000000"/>
          <w:sz w:val="24"/>
          <w:szCs w:val="24"/>
          <w:lang w:eastAsia="cs-CZ"/>
        </w:rPr>
        <w:br/>
        <w:t>* samotným poskytovatelem zdravotní péče U nás se na výběru prostředků podílí stát, veřejné zdravotní pojišťovny a poskytovatelé. Stát tak činí v rámci výběru přímých a nepřímých daní, zdravotní pojišťovny výběrem zákonného pojistného a poskytovatelé zdravotních služeb v přímých platbách.</w:t>
      </w:r>
    </w:p>
    <w:p w:rsidR="00AA3E3B" w:rsidRPr="00AA3E3B" w:rsidRDefault="00AA3E3B" w:rsidP="00AA3E3B">
      <w:pPr>
        <w:spacing w:before="150" w:after="150" w:line="240" w:lineRule="auto"/>
        <w:rPr>
          <w:rFonts w:ascii="Arial" w:eastAsia="Times New Roman" w:hAnsi="Arial" w:cs="Arial"/>
          <w:color w:val="000000"/>
          <w:sz w:val="24"/>
          <w:szCs w:val="24"/>
          <w:lang w:eastAsia="cs-CZ"/>
        </w:rPr>
      </w:pPr>
      <w:r w:rsidRPr="00AA3E3B">
        <w:rPr>
          <w:rFonts w:ascii="Arial" w:eastAsia="Times New Roman" w:hAnsi="Arial" w:cs="Arial"/>
          <w:color w:val="000000"/>
          <w:sz w:val="24"/>
          <w:szCs w:val="24"/>
          <w:lang w:eastAsia="cs-CZ"/>
        </w:rPr>
        <w:t>Podle formy výběru mají vybírané peníze charakter:</w:t>
      </w:r>
      <w:r w:rsidRPr="00AA3E3B">
        <w:rPr>
          <w:rFonts w:ascii="Arial" w:eastAsia="Times New Roman" w:hAnsi="Arial" w:cs="Arial"/>
          <w:color w:val="000000"/>
          <w:sz w:val="24"/>
          <w:szCs w:val="24"/>
          <w:lang w:eastAsia="cs-CZ"/>
        </w:rPr>
        <w:br/>
        <w:t>* daní (přímých a nepřímých)</w:t>
      </w:r>
      <w:r w:rsidRPr="00AA3E3B">
        <w:rPr>
          <w:rFonts w:ascii="Arial" w:eastAsia="Times New Roman" w:hAnsi="Arial" w:cs="Arial"/>
          <w:color w:val="000000"/>
          <w:sz w:val="24"/>
          <w:szCs w:val="24"/>
          <w:lang w:eastAsia="cs-CZ"/>
        </w:rPr>
        <w:br/>
        <w:t>* povinného sociálního (zdravotního) pojištění nebo zdravotní daně (věcně shodná se sociálním pojištěním, ale vybírána státem)</w:t>
      </w:r>
      <w:r w:rsidRPr="00AA3E3B">
        <w:rPr>
          <w:rFonts w:ascii="Arial" w:eastAsia="Times New Roman" w:hAnsi="Arial" w:cs="Arial"/>
          <w:color w:val="000000"/>
          <w:sz w:val="24"/>
          <w:szCs w:val="24"/>
          <w:lang w:eastAsia="cs-CZ"/>
        </w:rPr>
        <w:br/>
        <w:t>* dobrovolného soukromého zdravotního pojištění (výše pojistky na základě individuálního nebo skupinového rizika)</w:t>
      </w:r>
      <w:r w:rsidRPr="00AA3E3B">
        <w:rPr>
          <w:rFonts w:ascii="Arial" w:eastAsia="Times New Roman" w:hAnsi="Arial" w:cs="Arial"/>
          <w:color w:val="000000"/>
          <w:sz w:val="24"/>
          <w:szCs w:val="24"/>
          <w:lang w:eastAsia="cs-CZ"/>
        </w:rPr>
        <w:br/>
        <w:t>* povinného soukromého zdravotního pojištění (občané mají povinnost se pojistit u některé ze soukromých zdravotních pojišťoven libovolné právní formy, fungující v regulovaném prostředí. Zatím k vidění pouze v Nizozemsku.)</w:t>
      </w:r>
      <w:r w:rsidRPr="00AA3E3B">
        <w:rPr>
          <w:rFonts w:ascii="Arial" w:eastAsia="Times New Roman" w:hAnsi="Arial" w:cs="Arial"/>
          <w:color w:val="000000"/>
          <w:sz w:val="24"/>
          <w:szCs w:val="24"/>
          <w:lang w:eastAsia="cs-CZ"/>
        </w:rPr>
        <w:br/>
        <w:t>* zdravotního spoření (vedle Singapuru ještě zkoušeno v USA)</w:t>
      </w:r>
      <w:r w:rsidRPr="00AA3E3B">
        <w:rPr>
          <w:rFonts w:ascii="Arial" w:eastAsia="Times New Roman" w:hAnsi="Arial" w:cs="Arial"/>
          <w:color w:val="000000"/>
          <w:sz w:val="24"/>
          <w:szCs w:val="24"/>
          <w:lang w:eastAsia="cs-CZ"/>
        </w:rPr>
        <w:br/>
        <w:t>* přímých plateb</w:t>
      </w:r>
      <w:r w:rsidRPr="00AA3E3B">
        <w:rPr>
          <w:rFonts w:ascii="Arial" w:eastAsia="Times New Roman" w:hAnsi="Arial" w:cs="Arial"/>
          <w:color w:val="000000"/>
          <w:sz w:val="24"/>
          <w:szCs w:val="24"/>
          <w:lang w:eastAsia="cs-CZ"/>
        </w:rPr>
        <w:br/>
        <w:t>* grantů, darů atd.</w:t>
      </w:r>
    </w:p>
    <w:p w:rsidR="00AA3E3B" w:rsidRPr="00AA3E3B" w:rsidRDefault="00AA3E3B" w:rsidP="00AA3E3B">
      <w:pPr>
        <w:spacing w:before="150" w:after="150" w:line="240" w:lineRule="auto"/>
        <w:jc w:val="both"/>
        <w:rPr>
          <w:rFonts w:ascii="Arial" w:eastAsia="Times New Roman" w:hAnsi="Arial" w:cs="Arial"/>
          <w:color w:val="000000"/>
          <w:sz w:val="24"/>
          <w:szCs w:val="24"/>
          <w:lang w:eastAsia="cs-CZ"/>
        </w:rPr>
      </w:pPr>
      <w:r w:rsidRPr="00AA3E3B">
        <w:rPr>
          <w:rFonts w:ascii="Arial" w:eastAsia="Times New Roman" w:hAnsi="Arial" w:cs="Arial"/>
          <w:color w:val="000000"/>
          <w:sz w:val="24"/>
          <w:szCs w:val="24"/>
          <w:lang w:eastAsia="cs-CZ"/>
        </w:rPr>
        <w:t>Pro představu o významnosti jednotlivých finančních toků ve zdravotnictví se podívejme do reality roku 2008. V té době si to do zdravotnictví namířilo zhruba 260 miliard Kč (viz tabulku), z nichž něco málo přes 58 % bylo vybráno přímo zdravotními pojišťovnami od výdělečně činných lidí a v případě jejich zaměstnaneckého poměru i od jejich zaměstnavatelů (odvod na zdravotní pojištění v celkové výši 13,5 % daňového základu se dělí mezi zaměstnance a zaměstnavatele v poměru 1 : 2). Daňovou cestou se do zdravotnictví dostalo necelých 71 miliard Kč, což odpovídá 27% podílu.</w:t>
      </w:r>
    </w:p>
    <w:p w:rsidR="00AA3E3B" w:rsidRPr="00AA3E3B" w:rsidRDefault="00AA3E3B" w:rsidP="00AA3E3B">
      <w:pPr>
        <w:spacing w:before="150" w:after="150" w:line="240" w:lineRule="auto"/>
        <w:jc w:val="both"/>
        <w:rPr>
          <w:rFonts w:ascii="Arial" w:eastAsia="Times New Roman" w:hAnsi="Arial" w:cs="Arial"/>
          <w:color w:val="000000"/>
          <w:sz w:val="24"/>
          <w:szCs w:val="24"/>
          <w:lang w:eastAsia="cs-CZ"/>
        </w:rPr>
      </w:pPr>
      <w:r w:rsidRPr="00AA3E3B">
        <w:rPr>
          <w:rFonts w:ascii="Arial" w:eastAsia="Times New Roman" w:hAnsi="Arial" w:cs="Arial"/>
          <w:color w:val="000000"/>
          <w:sz w:val="24"/>
          <w:szCs w:val="24"/>
          <w:lang w:eastAsia="cs-CZ"/>
        </w:rPr>
        <w:t>Tyto peníze vstoupily do zdravotnictví dvěma způsoby. Přes 52 miliard vložil stát do fondu přerozdělení jako platbu za "své pojištěnce" a zbývající část byla vynaložena rovným dílem z rozpočtů krajů a ministerstva zdravotnictví. K platbě za "státní pojištěnce" je dobré připomenout, že není a nikdy nebyla míněna jako plnohodnotné zdravotní pojištění, ale byla vytvořena jako nástroj, jímž stát může dorovnávat deficit v systému veřejného zdravotního pojištění.</w:t>
      </w:r>
    </w:p>
    <w:p w:rsidR="00AA3E3B" w:rsidRPr="00AA3E3B" w:rsidRDefault="00AA3E3B" w:rsidP="00AA3E3B">
      <w:pPr>
        <w:spacing w:before="150" w:after="150" w:line="240" w:lineRule="auto"/>
        <w:jc w:val="both"/>
        <w:rPr>
          <w:rFonts w:ascii="Arial" w:eastAsia="Times New Roman" w:hAnsi="Arial" w:cs="Arial"/>
          <w:color w:val="000000"/>
          <w:sz w:val="24"/>
          <w:szCs w:val="24"/>
          <w:lang w:eastAsia="cs-CZ"/>
        </w:rPr>
      </w:pPr>
      <w:r w:rsidRPr="00AA3E3B">
        <w:rPr>
          <w:rFonts w:ascii="Arial" w:eastAsia="Times New Roman" w:hAnsi="Arial" w:cs="Arial"/>
          <w:color w:val="000000"/>
          <w:sz w:val="24"/>
          <w:szCs w:val="24"/>
          <w:lang w:eastAsia="cs-CZ"/>
        </w:rPr>
        <w:t>Stát nespravuje jiné bohatství, než které jeho produktivní občané vytvoří, a tak je poukazování na jeho skrblictví v platbě za "jeho" pojištěnce poněkud komické. Stejně bychom to byli my, kdo by zaplatil účet. Občané v roce 2008 vydali z vlastních kapes 40 miliard Kč, a tak se přímé výdaje podílejí na celku 15,5 procenta.</w:t>
      </w:r>
    </w:p>
    <w:p w:rsidR="00AA3E3B" w:rsidRPr="00AA3E3B" w:rsidRDefault="00AA3E3B" w:rsidP="00AA3E3B">
      <w:pPr>
        <w:spacing w:after="150" w:line="240" w:lineRule="auto"/>
        <w:jc w:val="both"/>
        <w:rPr>
          <w:rFonts w:ascii="Arial" w:eastAsia="Times New Roman" w:hAnsi="Arial" w:cs="Arial"/>
          <w:color w:val="000000"/>
          <w:sz w:val="24"/>
          <w:szCs w:val="24"/>
          <w:lang w:eastAsia="cs-CZ"/>
        </w:rPr>
      </w:pPr>
      <w:r w:rsidRPr="00AA3E3B">
        <w:rPr>
          <w:rFonts w:ascii="Arial" w:eastAsia="Times New Roman" w:hAnsi="Arial" w:cs="Arial"/>
          <w:color w:val="000000"/>
          <w:sz w:val="24"/>
          <w:szCs w:val="24"/>
          <w:lang w:eastAsia="cs-CZ"/>
        </w:rPr>
        <w:t>Řadu let se vedou úvahy o posílení role komerčního pojištění ve zdravotnictví. To zatím hraje v našem systému marginální roli a významněji se uplatňuje u cizinců, kteří u nás působí a nejsou našimi občany ani zaměstnanci u nás sídlících firem, a v cestovním pojištění.</w:t>
      </w:r>
    </w:p>
    <w:p w:rsidR="00AA3E3B" w:rsidRPr="00AA3E3B" w:rsidRDefault="00AA3E3B" w:rsidP="00AA3E3B">
      <w:pPr>
        <w:spacing w:before="150" w:after="150" w:line="240" w:lineRule="auto"/>
        <w:rPr>
          <w:rFonts w:ascii="Arial" w:eastAsia="Times New Roman" w:hAnsi="Arial" w:cs="Arial"/>
          <w:color w:val="000000"/>
          <w:sz w:val="24"/>
          <w:szCs w:val="24"/>
          <w:lang w:eastAsia="cs-CZ"/>
        </w:rPr>
      </w:pPr>
      <w:r w:rsidRPr="00AA3E3B">
        <w:rPr>
          <w:rFonts w:ascii="Arial" w:eastAsia="Times New Roman" w:hAnsi="Arial" w:cs="Arial"/>
          <w:color w:val="000000"/>
          <w:sz w:val="24"/>
          <w:szCs w:val="24"/>
          <w:lang w:eastAsia="cs-CZ"/>
        </w:rPr>
        <w:t xml:space="preserve">Typologicky se dá soukromé komerční zdravotní pojištění rozdělit </w:t>
      </w:r>
      <w:proofErr w:type="gramStart"/>
      <w:r w:rsidRPr="00AA3E3B">
        <w:rPr>
          <w:rFonts w:ascii="Arial" w:eastAsia="Times New Roman" w:hAnsi="Arial" w:cs="Arial"/>
          <w:color w:val="000000"/>
          <w:sz w:val="24"/>
          <w:szCs w:val="24"/>
          <w:lang w:eastAsia="cs-CZ"/>
        </w:rPr>
        <w:t>na</w:t>
      </w:r>
      <w:proofErr w:type="gramEnd"/>
      <w:r w:rsidRPr="00AA3E3B">
        <w:rPr>
          <w:rFonts w:ascii="Arial" w:eastAsia="Times New Roman" w:hAnsi="Arial" w:cs="Arial"/>
          <w:color w:val="000000"/>
          <w:sz w:val="24"/>
          <w:szCs w:val="24"/>
          <w:lang w:eastAsia="cs-CZ"/>
        </w:rPr>
        <w:t>:</w:t>
      </w:r>
      <w:r w:rsidRPr="00AA3E3B">
        <w:rPr>
          <w:rFonts w:ascii="Arial" w:eastAsia="Times New Roman" w:hAnsi="Arial" w:cs="Arial"/>
          <w:color w:val="000000"/>
          <w:sz w:val="24"/>
          <w:szCs w:val="24"/>
          <w:lang w:eastAsia="cs-CZ"/>
        </w:rPr>
        <w:br/>
        <w:t>* Základní (</w:t>
      </w:r>
      <w:proofErr w:type="spellStart"/>
      <w:r w:rsidRPr="00AA3E3B">
        <w:rPr>
          <w:rFonts w:ascii="Arial" w:eastAsia="Times New Roman" w:hAnsi="Arial" w:cs="Arial"/>
          <w:color w:val="000000"/>
          <w:sz w:val="24"/>
          <w:szCs w:val="24"/>
          <w:lang w:eastAsia="cs-CZ"/>
        </w:rPr>
        <w:t>principal</w:t>
      </w:r>
      <w:proofErr w:type="spellEnd"/>
      <w:r w:rsidRPr="00AA3E3B">
        <w:rPr>
          <w:rFonts w:ascii="Arial" w:eastAsia="Times New Roman" w:hAnsi="Arial" w:cs="Arial"/>
          <w:color w:val="000000"/>
          <w:sz w:val="24"/>
          <w:szCs w:val="24"/>
          <w:lang w:eastAsia="cs-CZ"/>
        </w:rPr>
        <w:t>), jež poskytuje krytí pro případ čerpání zdravotní péče pro ty, kdo nejsou součástí veřejného zdravotního pojištění. Jeho rozsah a výše pojistky je smluvní (u nás třeba pojištění cizinců z nesmluvních zemí).</w:t>
      </w:r>
      <w:r w:rsidRPr="00AA3E3B">
        <w:rPr>
          <w:rFonts w:ascii="Arial" w:eastAsia="Times New Roman" w:hAnsi="Arial" w:cs="Arial"/>
          <w:color w:val="000000"/>
          <w:sz w:val="24"/>
          <w:szCs w:val="24"/>
          <w:lang w:eastAsia="cs-CZ"/>
        </w:rPr>
        <w:br/>
        <w:t xml:space="preserve">* Náhradní (substitute) pokrývá shodný rozsah služeb jako veřejné zdravotní pojištění, ale cena pojistky vychází z pojistného rizika. Je určeno pro ty, jimž je umožněno vystoupit z veřejného zdravotního pojištění (Německo, dříve Nizozemsko). </w:t>
      </w:r>
      <w:r w:rsidRPr="00AA3E3B">
        <w:rPr>
          <w:rFonts w:ascii="Arial" w:eastAsia="Times New Roman" w:hAnsi="Arial" w:cs="Arial"/>
          <w:color w:val="000000"/>
          <w:sz w:val="24"/>
          <w:szCs w:val="24"/>
          <w:lang w:eastAsia="cs-CZ"/>
        </w:rPr>
        <w:lastRenderedPageBreak/>
        <w:t>Vzhledem ke své nesystémovosti je opouštěno.</w:t>
      </w:r>
      <w:r w:rsidRPr="00AA3E3B">
        <w:rPr>
          <w:rFonts w:ascii="Arial" w:eastAsia="Times New Roman" w:hAnsi="Arial" w:cs="Arial"/>
          <w:color w:val="000000"/>
          <w:sz w:val="24"/>
          <w:szCs w:val="24"/>
          <w:lang w:eastAsia="cs-CZ"/>
        </w:rPr>
        <w:br/>
        <w:t>* Doplňkové (</w:t>
      </w:r>
      <w:proofErr w:type="spellStart"/>
      <w:r w:rsidRPr="00AA3E3B">
        <w:rPr>
          <w:rFonts w:ascii="Arial" w:eastAsia="Times New Roman" w:hAnsi="Arial" w:cs="Arial"/>
          <w:color w:val="000000"/>
          <w:sz w:val="24"/>
          <w:szCs w:val="24"/>
          <w:lang w:eastAsia="cs-CZ"/>
        </w:rPr>
        <w:t>complementary</w:t>
      </w:r>
      <w:proofErr w:type="spellEnd"/>
      <w:r w:rsidRPr="00AA3E3B">
        <w:rPr>
          <w:rFonts w:ascii="Arial" w:eastAsia="Times New Roman" w:hAnsi="Arial" w:cs="Arial"/>
          <w:color w:val="000000"/>
          <w:sz w:val="24"/>
          <w:szCs w:val="24"/>
          <w:lang w:eastAsia="cs-CZ"/>
        </w:rPr>
        <w:t>) je určené na krytí dodatečných nákladů spojených s čerpáním služeb hrazených ve veřejném systému a uplatňuje se ve státech s vysokou spoluúčastí (Francie).</w:t>
      </w:r>
      <w:r w:rsidRPr="00AA3E3B">
        <w:rPr>
          <w:rFonts w:ascii="Arial" w:eastAsia="Times New Roman" w:hAnsi="Arial" w:cs="Arial"/>
          <w:color w:val="000000"/>
          <w:sz w:val="24"/>
          <w:szCs w:val="24"/>
          <w:lang w:eastAsia="cs-CZ"/>
        </w:rPr>
        <w:br/>
        <w:t>* Dodatkové (</w:t>
      </w:r>
      <w:proofErr w:type="spellStart"/>
      <w:r w:rsidRPr="00AA3E3B">
        <w:rPr>
          <w:rFonts w:ascii="Arial" w:eastAsia="Times New Roman" w:hAnsi="Arial" w:cs="Arial"/>
          <w:color w:val="000000"/>
          <w:sz w:val="24"/>
          <w:szCs w:val="24"/>
          <w:lang w:eastAsia="cs-CZ"/>
        </w:rPr>
        <w:t>suplementary</w:t>
      </w:r>
      <w:proofErr w:type="spellEnd"/>
      <w:r w:rsidRPr="00AA3E3B">
        <w:rPr>
          <w:rFonts w:ascii="Arial" w:eastAsia="Times New Roman" w:hAnsi="Arial" w:cs="Arial"/>
          <w:color w:val="000000"/>
          <w:sz w:val="24"/>
          <w:szCs w:val="24"/>
          <w:lang w:eastAsia="cs-CZ"/>
        </w:rPr>
        <w:t>) kryje služby neposkytované veřejným zdravotním pojištěním nebo je nabízí v lepší kvalitě a dostupnosti, tedy "připojištění" v našem pojetí (Izrael).</w:t>
      </w:r>
      <w:r w:rsidRPr="00AA3E3B">
        <w:rPr>
          <w:rFonts w:ascii="Arial" w:eastAsia="Times New Roman" w:hAnsi="Arial" w:cs="Arial"/>
          <w:color w:val="000000"/>
          <w:sz w:val="24"/>
          <w:szCs w:val="24"/>
          <w:lang w:eastAsia="cs-CZ"/>
        </w:rPr>
        <w:br/>
        <w:t>* Duplicitní (</w:t>
      </w:r>
      <w:proofErr w:type="spellStart"/>
      <w:r w:rsidRPr="00AA3E3B">
        <w:rPr>
          <w:rFonts w:ascii="Arial" w:eastAsia="Times New Roman" w:hAnsi="Arial" w:cs="Arial"/>
          <w:color w:val="000000"/>
          <w:sz w:val="24"/>
          <w:szCs w:val="24"/>
          <w:lang w:eastAsia="cs-CZ"/>
        </w:rPr>
        <w:t>duplicate</w:t>
      </w:r>
      <w:proofErr w:type="spellEnd"/>
      <w:r w:rsidRPr="00AA3E3B">
        <w:rPr>
          <w:rFonts w:ascii="Arial" w:eastAsia="Times New Roman" w:hAnsi="Arial" w:cs="Arial"/>
          <w:color w:val="000000"/>
          <w:sz w:val="24"/>
          <w:szCs w:val="24"/>
          <w:lang w:eastAsia="cs-CZ"/>
        </w:rPr>
        <w:t>) slouží k zajištění přístupu k péči, která by měla být dostupná ve veřejném systému, ale není (Velká Británie).</w:t>
      </w:r>
    </w:p>
    <w:p w:rsidR="00AA3E3B" w:rsidRPr="00AA3E3B" w:rsidRDefault="00AA3E3B" w:rsidP="00AA3E3B">
      <w:pPr>
        <w:spacing w:before="150" w:after="150" w:line="240" w:lineRule="auto"/>
        <w:jc w:val="both"/>
        <w:rPr>
          <w:rFonts w:ascii="Arial" w:eastAsia="Times New Roman" w:hAnsi="Arial" w:cs="Arial"/>
          <w:color w:val="000000"/>
          <w:sz w:val="24"/>
          <w:szCs w:val="24"/>
          <w:lang w:eastAsia="cs-CZ"/>
        </w:rPr>
      </w:pPr>
      <w:r w:rsidRPr="00AA3E3B">
        <w:rPr>
          <w:rFonts w:ascii="Arial" w:eastAsia="Times New Roman" w:hAnsi="Arial" w:cs="Arial"/>
          <w:color w:val="000000"/>
          <w:sz w:val="24"/>
          <w:szCs w:val="24"/>
          <w:lang w:eastAsia="cs-CZ"/>
        </w:rPr>
        <w:t>S výjimkou Francie nepřekračuje v Evropě podíl komerčního pojištění na celkových prostředcích zdravotnictví 10 procent. Vzhledem ke své konstrukci je nevhodné k zajišťování základní zdravotní péče pro obyvatelstvo, ale může být dobrým prostředkem jejího přizpůsobení individuálním potřebám a k racionalizaci procesu vstupu nových technologií do zdravotnictví.</w:t>
      </w:r>
    </w:p>
    <w:p w:rsidR="00AA3E3B" w:rsidRPr="00AA3E3B" w:rsidRDefault="00AA3E3B" w:rsidP="00BF6F5C">
      <w:pPr>
        <w:spacing w:before="150" w:after="150" w:line="240" w:lineRule="auto"/>
        <w:rPr>
          <w:rFonts w:ascii="Arial" w:eastAsia="Times New Roman" w:hAnsi="Arial" w:cs="Arial"/>
          <w:color w:val="000000"/>
          <w:sz w:val="24"/>
          <w:szCs w:val="24"/>
          <w:lang w:eastAsia="cs-CZ"/>
        </w:rPr>
      </w:pPr>
      <w:r w:rsidRPr="00AA3E3B">
        <w:rPr>
          <w:rFonts w:ascii="Arial" w:eastAsia="Times New Roman" w:hAnsi="Arial" w:cs="Arial"/>
          <w:color w:val="000000"/>
          <w:sz w:val="24"/>
          <w:szCs w:val="24"/>
          <w:lang w:eastAsia="cs-CZ"/>
        </w:rPr>
        <w:br/>
      </w:r>
      <w:r w:rsidRPr="00AA3E3B">
        <w:rPr>
          <w:rFonts w:ascii="Arial" w:eastAsia="Times New Roman" w:hAnsi="Arial" w:cs="Arial"/>
          <w:b/>
          <w:bCs/>
          <w:color w:val="000000"/>
          <w:sz w:val="24"/>
          <w:szCs w:val="24"/>
          <w:lang w:eastAsia="cs-CZ"/>
        </w:rPr>
        <w:t>Sdružení a přerozdělení prostředků</w:t>
      </w:r>
      <w:r w:rsidRPr="00AA3E3B">
        <w:rPr>
          <w:rFonts w:ascii="Arial" w:eastAsia="Times New Roman" w:hAnsi="Arial" w:cs="Arial"/>
          <w:color w:val="000000"/>
          <w:sz w:val="24"/>
          <w:szCs w:val="24"/>
          <w:lang w:eastAsia="cs-CZ"/>
        </w:rPr>
        <w:br/>
      </w:r>
      <w:r w:rsidRPr="00AA3E3B">
        <w:rPr>
          <w:rFonts w:ascii="Arial" w:eastAsia="Times New Roman" w:hAnsi="Arial" w:cs="Arial"/>
          <w:color w:val="000000"/>
          <w:sz w:val="24"/>
          <w:szCs w:val="24"/>
          <w:lang w:eastAsia="cs-CZ"/>
        </w:rPr>
        <w:br/>
        <w:t>Smyslem sdružování prostředků je rozložit finanční riziko spojené s nemocí na populaci nebo na její definovanou podskupinu. Evropské systémy sociálního pojištění nebo národní zdravotní služby se orientují na celou populaci, ale tradičně individualistické Spojené státy se tímto směrem vydaly až v rámci Obamovy reformy.</w:t>
      </w:r>
    </w:p>
    <w:p w:rsidR="00AA3E3B" w:rsidRPr="00AA3E3B" w:rsidRDefault="00AA3E3B" w:rsidP="00AA3E3B">
      <w:pPr>
        <w:spacing w:before="150" w:after="150" w:line="240" w:lineRule="auto"/>
        <w:jc w:val="both"/>
        <w:rPr>
          <w:rFonts w:ascii="Arial" w:eastAsia="Times New Roman" w:hAnsi="Arial" w:cs="Arial"/>
          <w:color w:val="000000"/>
          <w:sz w:val="24"/>
          <w:szCs w:val="24"/>
          <w:lang w:eastAsia="cs-CZ"/>
        </w:rPr>
      </w:pPr>
      <w:r w:rsidRPr="00AA3E3B">
        <w:rPr>
          <w:rFonts w:ascii="Arial" w:eastAsia="Times New Roman" w:hAnsi="Arial" w:cs="Arial"/>
          <w:color w:val="000000"/>
          <w:sz w:val="24"/>
          <w:szCs w:val="24"/>
          <w:lang w:eastAsia="cs-CZ"/>
        </w:rPr>
        <w:t xml:space="preserve">Jednou sdružené prostředky je následně potřebné rozdělit mezi jednotlivé "nákupčí" zdravotních služeb. V systémech národní zdravotní služby jde o spravedlivou alokaci prostředků mezi jednotlivými regiony, v </w:t>
      </w:r>
      <w:proofErr w:type="spellStart"/>
      <w:r w:rsidRPr="00AA3E3B">
        <w:rPr>
          <w:rFonts w:ascii="Arial" w:eastAsia="Times New Roman" w:hAnsi="Arial" w:cs="Arial"/>
          <w:color w:val="000000"/>
          <w:sz w:val="24"/>
          <w:szCs w:val="24"/>
          <w:lang w:eastAsia="cs-CZ"/>
        </w:rPr>
        <w:t>pojišťovenských</w:t>
      </w:r>
      <w:proofErr w:type="spellEnd"/>
      <w:r w:rsidRPr="00AA3E3B">
        <w:rPr>
          <w:rFonts w:ascii="Arial" w:eastAsia="Times New Roman" w:hAnsi="Arial" w:cs="Arial"/>
          <w:color w:val="000000"/>
          <w:sz w:val="24"/>
          <w:szCs w:val="24"/>
          <w:lang w:eastAsia="cs-CZ"/>
        </w:rPr>
        <w:t xml:space="preserve"> systémech zase mezi zdravotními pojišťovnami.</w:t>
      </w:r>
    </w:p>
    <w:p w:rsidR="00AA3E3B" w:rsidRPr="00AA3E3B" w:rsidRDefault="00AA3E3B" w:rsidP="00AA3E3B">
      <w:pPr>
        <w:spacing w:before="150" w:after="150" w:line="240" w:lineRule="auto"/>
        <w:jc w:val="both"/>
        <w:rPr>
          <w:rFonts w:ascii="Arial" w:eastAsia="Times New Roman" w:hAnsi="Arial" w:cs="Arial"/>
          <w:color w:val="000000"/>
          <w:sz w:val="24"/>
          <w:szCs w:val="24"/>
          <w:lang w:eastAsia="cs-CZ"/>
        </w:rPr>
      </w:pPr>
      <w:r w:rsidRPr="00AA3E3B">
        <w:rPr>
          <w:rFonts w:ascii="Arial" w:eastAsia="Times New Roman" w:hAnsi="Arial" w:cs="Arial"/>
          <w:color w:val="000000"/>
          <w:sz w:val="24"/>
          <w:szCs w:val="24"/>
          <w:lang w:eastAsia="cs-CZ"/>
        </w:rPr>
        <w:t>Se stoupajícím důrazem na konkurenci mezi zdravotními pojišťovnami roste význam přerozdělování jako prevence zaujatého výběru pojištěnců.</w:t>
      </w:r>
    </w:p>
    <w:p w:rsidR="00AA3E3B" w:rsidRPr="00AA3E3B" w:rsidRDefault="00AA3E3B" w:rsidP="00AA3E3B">
      <w:pPr>
        <w:spacing w:before="150" w:after="150" w:line="240" w:lineRule="auto"/>
        <w:jc w:val="both"/>
        <w:rPr>
          <w:rFonts w:ascii="Arial" w:eastAsia="Times New Roman" w:hAnsi="Arial" w:cs="Arial"/>
          <w:color w:val="000000"/>
          <w:sz w:val="24"/>
          <w:szCs w:val="24"/>
          <w:lang w:eastAsia="cs-CZ"/>
        </w:rPr>
      </w:pPr>
      <w:r w:rsidRPr="00AA3E3B">
        <w:rPr>
          <w:rFonts w:ascii="Arial" w:eastAsia="Times New Roman" w:hAnsi="Arial" w:cs="Arial"/>
          <w:color w:val="000000"/>
          <w:sz w:val="24"/>
          <w:szCs w:val="24"/>
          <w:lang w:eastAsia="cs-CZ"/>
        </w:rPr>
        <w:t>Cílem přerozdělovacích mechanismů je přizpůsobit objem prostředků, s nimiž pojišťovna hospodaří, rizikové struktuře jejich pojištěnců. U nás je v současné době zavedeno tzv. 100% přerozdělení, což zjednodušeně popsáno znamená, že všechny vybrané peníze se dají na jednu hromadu, stát na ni přisype za "své" pojištěnce a každá pojišťovna si pak vezme díl odpovídající věkové a genderové struktuře jejích pojištěnců.</w:t>
      </w:r>
    </w:p>
    <w:p w:rsidR="00AA3E3B" w:rsidRPr="00AA3E3B" w:rsidRDefault="00AA3E3B" w:rsidP="00AA3E3B">
      <w:pPr>
        <w:spacing w:before="150" w:after="150" w:line="240" w:lineRule="auto"/>
        <w:jc w:val="both"/>
        <w:rPr>
          <w:rFonts w:ascii="Arial" w:eastAsia="Times New Roman" w:hAnsi="Arial" w:cs="Arial"/>
          <w:color w:val="000000"/>
          <w:sz w:val="24"/>
          <w:szCs w:val="24"/>
          <w:lang w:eastAsia="cs-CZ"/>
        </w:rPr>
      </w:pPr>
      <w:r w:rsidRPr="00AA3E3B">
        <w:rPr>
          <w:rFonts w:ascii="Arial" w:eastAsia="Times New Roman" w:hAnsi="Arial" w:cs="Arial"/>
          <w:color w:val="000000"/>
          <w:sz w:val="24"/>
          <w:szCs w:val="24"/>
          <w:lang w:eastAsia="cs-CZ"/>
        </w:rPr>
        <w:t>Aby se omezila diskriminace pojištěnců s nákladnými diagnózami, je pojišťovnám navíc z tohoto měšce zpětně kompenzováno 80 % z nákladů, o něž roční léčení překročilo hranici třicetinásobku nákladů na průměrného pojištěnce. V Nizozemsku, které má zřejmě nejkvalitnější způsob přerozdělení, je navíc zohledňován sociální statut pojištěnce, jeho bydliště, lékové náklady a náklady na vybrané diagnostické skupiny.</w:t>
      </w:r>
    </w:p>
    <w:p w:rsidR="00AA3E3B" w:rsidRPr="00AA3E3B" w:rsidRDefault="00AA3E3B" w:rsidP="00BF6F5C">
      <w:pPr>
        <w:spacing w:before="150" w:after="150" w:line="240" w:lineRule="auto"/>
        <w:rPr>
          <w:rFonts w:ascii="Arial" w:eastAsia="Times New Roman" w:hAnsi="Arial" w:cs="Arial"/>
          <w:color w:val="000000"/>
          <w:sz w:val="24"/>
          <w:szCs w:val="24"/>
          <w:lang w:eastAsia="cs-CZ"/>
        </w:rPr>
      </w:pPr>
      <w:r w:rsidRPr="00AA3E3B">
        <w:rPr>
          <w:rFonts w:ascii="Arial" w:eastAsia="Times New Roman" w:hAnsi="Arial" w:cs="Arial"/>
          <w:color w:val="000000"/>
          <w:sz w:val="24"/>
          <w:szCs w:val="24"/>
          <w:lang w:eastAsia="cs-CZ"/>
        </w:rPr>
        <w:br/>
      </w:r>
      <w:r w:rsidRPr="00AA3E3B">
        <w:rPr>
          <w:rFonts w:ascii="Arial" w:eastAsia="Times New Roman" w:hAnsi="Arial" w:cs="Arial"/>
          <w:b/>
          <w:bCs/>
          <w:color w:val="000000"/>
          <w:sz w:val="24"/>
          <w:szCs w:val="24"/>
          <w:lang w:eastAsia="cs-CZ"/>
        </w:rPr>
        <w:t>Nákup péče</w:t>
      </w:r>
      <w:r w:rsidRPr="00AA3E3B">
        <w:rPr>
          <w:rFonts w:ascii="Arial" w:eastAsia="Times New Roman" w:hAnsi="Arial" w:cs="Arial"/>
          <w:b/>
          <w:bCs/>
          <w:color w:val="000000"/>
          <w:sz w:val="24"/>
          <w:szCs w:val="24"/>
          <w:lang w:eastAsia="cs-CZ"/>
        </w:rPr>
        <w:br/>
      </w:r>
      <w:r w:rsidRPr="00AA3E3B">
        <w:rPr>
          <w:rFonts w:ascii="Arial" w:eastAsia="Times New Roman" w:hAnsi="Arial" w:cs="Arial"/>
          <w:color w:val="000000"/>
          <w:sz w:val="24"/>
          <w:szCs w:val="24"/>
          <w:lang w:eastAsia="cs-CZ"/>
        </w:rPr>
        <w:br/>
        <w:t>Na úhradové mechanismy se můžeme dívat z pohledu jejich časové orientace, jednotky platby nebo míry rozložení finančního rizika mezi plátce a poskytovatele.</w:t>
      </w:r>
    </w:p>
    <w:p w:rsidR="00AA3E3B" w:rsidRPr="00AA3E3B" w:rsidRDefault="00AA3E3B" w:rsidP="00AA3E3B">
      <w:pPr>
        <w:spacing w:before="150" w:after="150" w:line="240" w:lineRule="auto"/>
        <w:jc w:val="both"/>
        <w:rPr>
          <w:rFonts w:ascii="Arial" w:eastAsia="Times New Roman" w:hAnsi="Arial" w:cs="Arial"/>
          <w:color w:val="000000"/>
          <w:sz w:val="24"/>
          <w:szCs w:val="24"/>
          <w:lang w:eastAsia="cs-CZ"/>
        </w:rPr>
      </w:pPr>
      <w:r w:rsidRPr="00AA3E3B">
        <w:rPr>
          <w:rFonts w:ascii="Arial" w:eastAsia="Times New Roman" w:hAnsi="Arial" w:cs="Arial"/>
          <w:color w:val="000000"/>
          <w:sz w:val="24"/>
          <w:szCs w:val="24"/>
          <w:lang w:eastAsia="cs-CZ"/>
        </w:rPr>
        <w:t xml:space="preserve">Z časového hlediska se platby dělí na retrospektivní a prospektivní, první znamená, že plátce dopředu neví, kolik za péči zaplatí. Doktor vypíše účet, pacientovi jej </w:t>
      </w:r>
      <w:r w:rsidRPr="00AA3E3B">
        <w:rPr>
          <w:rFonts w:ascii="Arial" w:eastAsia="Times New Roman" w:hAnsi="Arial" w:cs="Arial"/>
          <w:color w:val="000000"/>
          <w:sz w:val="24"/>
          <w:szCs w:val="24"/>
          <w:lang w:eastAsia="cs-CZ"/>
        </w:rPr>
        <w:lastRenderedPageBreak/>
        <w:t>proplatí pojišťovna, a pokud jí rostou náklady, tak zvýší pojistné. Touto cestou došly Spojené státy k průměrné roční ceně zdravotního pojištění 13 000 USD.</w:t>
      </w:r>
    </w:p>
    <w:p w:rsidR="00AA3E3B" w:rsidRPr="00AA3E3B" w:rsidRDefault="00AA3E3B" w:rsidP="00AA3E3B">
      <w:pPr>
        <w:spacing w:before="150" w:after="150" w:line="240" w:lineRule="auto"/>
        <w:jc w:val="both"/>
        <w:rPr>
          <w:rFonts w:ascii="Arial" w:eastAsia="Times New Roman" w:hAnsi="Arial" w:cs="Arial"/>
          <w:color w:val="000000"/>
          <w:sz w:val="24"/>
          <w:szCs w:val="24"/>
          <w:lang w:eastAsia="cs-CZ"/>
        </w:rPr>
      </w:pPr>
      <w:r w:rsidRPr="00AA3E3B">
        <w:rPr>
          <w:rFonts w:ascii="Arial" w:eastAsia="Times New Roman" w:hAnsi="Arial" w:cs="Arial"/>
          <w:color w:val="000000"/>
          <w:sz w:val="24"/>
          <w:szCs w:val="24"/>
          <w:lang w:eastAsia="cs-CZ"/>
        </w:rPr>
        <w:t>V Evropě tradičně dominuje prospektivní způsob úhrady, ceny jsou ošetřeny různými sazebníky a objem péče upraven vzájemnými smlouvami. Platit se dá za jednotlivé úkony, za epizodu péče nebo za zajištění definované skupiny lidí.</w:t>
      </w:r>
    </w:p>
    <w:p w:rsidR="00AA3E3B" w:rsidRPr="00AA3E3B" w:rsidRDefault="00AA3E3B" w:rsidP="00AA3E3B">
      <w:pPr>
        <w:spacing w:before="150" w:after="150" w:line="240" w:lineRule="auto"/>
        <w:jc w:val="both"/>
        <w:rPr>
          <w:rFonts w:ascii="Arial" w:eastAsia="Times New Roman" w:hAnsi="Arial" w:cs="Arial"/>
          <w:color w:val="000000"/>
          <w:sz w:val="24"/>
          <w:szCs w:val="24"/>
          <w:lang w:eastAsia="cs-CZ"/>
        </w:rPr>
      </w:pPr>
      <w:r w:rsidRPr="00AA3E3B">
        <w:rPr>
          <w:rFonts w:ascii="Arial" w:eastAsia="Times New Roman" w:hAnsi="Arial" w:cs="Arial"/>
          <w:color w:val="000000"/>
          <w:sz w:val="24"/>
          <w:szCs w:val="24"/>
          <w:lang w:eastAsia="cs-CZ"/>
        </w:rPr>
        <w:t>Výkonová platba je jednoduchá a flexibilní, ale také stimulující růst počtu výkonů a v otevřeném prostředí nutně spojena s vysokou spoluúčastí.</w:t>
      </w:r>
    </w:p>
    <w:p w:rsidR="00AA3E3B" w:rsidRPr="00AA3E3B" w:rsidRDefault="00AA3E3B" w:rsidP="00AA3E3B">
      <w:pPr>
        <w:spacing w:before="150" w:after="150" w:line="240" w:lineRule="auto"/>
        <w:jc w:val="both"/>
        <w:rPr>
          <w:rFonts w:ascii="Arial" w:eastAsia="Times New Roman" w:hAnsi="Arial" w:cs="Arial"/>
          <w:color w:val="000000"/>
          <w:sz w:val="24"/>
          <w:szCs w:val="24"/>
          <w:lang w:eastAsia="cs-CZ"/>
        </w:rPr>
      </w:pPr>
      <w:r w:rsidRPr="00AA3E3B">
        <w:rPr>
          <w:rFonts w:ascii="Arial" w:eastAsia="Times New Roman" w:hAnsi="Arial" w:cs="Arial"/>
          <w:color w:val="000000"/>
          <w:sz w:val="24"/>
          <w:szCs w:val="24"/>
          <w:lang w:eastAsia="cs-CZ"/>
        </w:rPr>
        <w:t>Platba za epizodu péče je souhrnnou platbou za všechny výkony vztažené buďto k podmínkám (ošetřovací den, registrace), nebo epizodě nemoci (DRG, PCG). Představuje racionální formu kontroly nákladů, protože volbu konkrétního diagnosticko-terapeutického postupu nechává na poskytovateli, umožňuje vzájemné srovnávání a obejde se bez spoluúčasti.</w:t>
      </w:r>
    </w:p>
    <w:p w:rsidR="00AA3E3B" w:rsidRPr="00AA3E3B" w:rsidRDefault="00AA3E3B" w:rsidP="00AA3E3B">
      <w:pPr>
        <w:spacing w:before="150" w:after="150" w:line="240" w:lineRule="auto"/>
        <w:jc w:val="both"/>
        <w:rPr>
          <w:rFonts w:ascii="Arial" w:eastAsia="Times New Roman" w:hAnsi="Arial" w:cs="Arial"/>
          <w:color w:val="000000"/>
          <w:sz w:val="24"/>
          <w:szCs w:val="24"/>
          <w:lang w:eastAsia="cs-CZ"/>
        </w:rPr>
      </w:pPr>
      <w:r w:rsidRPr="00AA3E3B">
        <w:rPr>
          <w:rFonts w:ascii="Arial" w:eastAsia="Times New Roman" w:hAnsi="Arial" w:cs="Arial"/>
          <w:color w:val="000000"/>
          <w:sz w:val="24"/>
          <w:szCs w:val="24"/>
          <w:lang w:eastAsia="cs-CZ"/>
        </w:rPr>
        <w:t>Nevýhodou sofistikovanějších systémů platby za epizodu péče jsou značné nároky na tvorbu, údržbu, kontrolu a rozvoj úhradového systému. U nás se používá kapitačně-výkonová platba u praktických lékařů, výkonová se stropem u specialistů a mix paušálu, platby za případ, za "balíčky" a za nákladné pacienty v nemocniční péči. Stávající systém úhrad by si zasloužil "vyčistit", zjednodušit a v nemocniční péči by měl konečně dospět k hrazení podle DRG. A nakonec si ještě povězme o úhradách z hlediska rozložení finančního rizika mezi plátce a poskytovatele. Při retrospektivní výkonové úhradě nese riziko výhradně pojišťovna, naopak je tomu, pokud výši úhrady nastaví jednostranně stát nebo monopolní pojišťovna.</w:t>
      </w:r>
    </w:p>
    <w:p w:rsidR="00AA3E3B" w:rsidRPr="00AA3E3B" w:rsidRDefault="00AA3E3B" w:rsidP="00AA3E3B">
      <w:pPr>
        <w:spacing w:before="150" w:after="150" w:line="240" w:lineRule="auto"/>
        <w:jc w:val="both"/>
        <w:rPr>
          <w:rFonts w:ascii="Arial" w:eastAsia="Times New Roman" w:hAnsi="Arial" w:cs="Arial"/>
          <w:color w:val="000000"/>
          <w:sz w:val="24"/>
          <w:szCs w:val="24"/>
          <w:lang w:eastAsia="cs-CZ"/>
        </w:rPr>
      </w:pPr>
      <w:r w:rsidRPr="00AA3E3B">
        <w:rPr>
          <w:rFonts w:ascii="Arial" w:eastAsia="Times New Roman" w:hAnsi="Arial" w:cs="Arial"/>
          <w:color w:val="000000"/>
          <w:sz w:val="24"/>
          <w:szCs w:val="24"/>
          <w:lang w:eastAsia="cs-CZ"/>
        </w:rPr>
        <w:t>Logicky nejlepší jsou takové úhradové mechanismy, v nichž si každý nese svoji míru rizika. V prostředí DRG nese poskytovatel riziko, že bude konkrétního pacienta léčit nákladněji, než je jeho předem stanovená odměna, a v opačném gardu zase nese riziko pojišťovna.</w:t>
      </w:r>
    </w:p>
    <w:p w:rsidR="00AA3E3B" w:rsidRPr="00AA3E3B" w:rsidRDefault="00AA3E3B" w:rsidP="00AA3E3B">
      <w:pPr>
        <w:spacing w:before="150" w:after="150" w:line="240" w:lineRule="auto"/>
        <w:jc w:val="both"/>
        <w:rPr>
          <w:rFonts w:ascii="Arial" w:eastAsia="Times New Roman" w:hAnsi="Arial" w:cs="Arial"/>
          <w:color w:val="000000"/>
          <w:sz w:val="24"/>
          <w:szCs w:val="24"/>
          <w:lang w:eastAsia="cs-CZ"/>
        </w:rPr>
      </w:pPr>
      <w:r w:rsidRPr="00AA3E3B">
        <w:rPr>
          <w:rFonts w:ascii="Arial" w:eastAsia="Times New Roman" w:hAnsi="Arial" w:cs="Arial"/>
          <w:color w:val="000000"/>
          <w:sz w:val="24"/>
          <w:szCs w:val="24"/>
          <w:lang w:eastAsia="cs-CZ"/>
        </w:rPr>
        <w:t>Ve financování našeho zdravotnictví se dá ledacos vylepšit - od zavedení dvousložkového pojistného přes definování služeb hrazených veřejným systémem jako nutné podmínky pro otevření většího prostoru komerčnímu připojištění či přes přesnější způsob přerozdělení až po racionalizaci úhradových mechanismů. Ale o tom zase někdy jindy.</w:t>
      </w:r>
    </w:p>
    <w:p w:rsidR="00AA3E3B" w:rsidRPr="00AA3E3B" w:rsidRDefault="00AA3E3B" w:rsidP="00AA3E3B">
      <w:pPr>
        <w:jc w:val="both"/>
        <w:rPr>
          <w:rFonts w:ascii="Arial" w:hAnsi="Arial" w:cs="Arial"/>
          <w:sz w:val="24"/>
          <w:szCs w:val="24"/>
        </w:rPr>
      </w:pPr>
    </w:p>
    <w:p w:rsidR="00AA3E3B" w:rsidRPr="00AA3E3B" w:rsidRDefault="00AA3E3B" w:rsidP="00AA3E3B">
      <w:pPr>
        <w:jc w:val="both"/>
        <w:rPr>
          <w:rFonts w:ascii="Arial" w:hAnsi="Arial" w:cs="Arial"/>
          <w:sz w:val="24"/>
          <w:szCs w:val="24"/>
        </w:rPr>
      </w:pPr>
    </w:p>
    <w:p w:rsidR="00AA3E3B" w:rsidRPr="00AA3E3B" w:rsidRDefault="00AA3E3B" w:rsidP="00AA3E3B">
      <w:pPr>
        <w:jc w:val="both"/>
        <w:rPr>
          <w:rFonts w:ascii="Arial" w:hAnsi="Arial" w:cs="Arial"/>
          <w:sz w:val="24"/>
          <w:szCs w:val="24"/>
        </w:rPr>
      </w:pPr>
    </w:p>
    <w:p w:rsidR="00AA3E3B" w:rsidRPr="00AA3E3B" w:rsidRDefault="00AA3E3B" w:rsidP="00AA3E3B">
      <w:pPr>
        <w:jc w:val="both"/>
        <w:rPr>
          <w:rFonts w:ascii="Arial" w:hAnsi="Arial" w:cs="Arial"/>
          <w:sz w:val="24"/>
          <w:szCs w:val="24"/>
        </w:rPr>
      </w:pPr>
    </w:p>
    <w:p w:rsidR="00AA3E3B" w:rsidRPr="00AA3E3B" w:rsidRDefault="00AA3E3B" w:rsidP="00AA3E3B">
      <w:pPr>
        <w:jc w:val="both"/>
        <w:rPr>
          <w:rFonts w:ascii="Arial" w:hAnsi="Arial" w:cs="Arial"/>
          <w:sz w:val="24"/>
          <w:szCs w:val="24"/>
        </w:rPr>
      </w:pPr>
    </w:p>
    <w:p w:rsidR="00AA3E3B" w:rsidRPr="00AA3E3B" w:rsidRDefault="00AA3E3B" w:rsidP="00AA3E3B">
      <w:pPr>
        <w:jc w:val="both"/>
        <w:rPr>
          <w:rFonts w:ascii="Arial" w:hAnsi="Arial" w:cs="Arial"/>
          <w:sz w:val="24"/>
          <w:szCs w:val="24"/>
        </w:rPr>
      </w:pPr>
    </w:p>
    <w:p w:rsidR="00AA3E3B" w:rsidRPr="00AA3E3B" w:rsidRDefault="00AA3E3B" w:rsidP="00AA3E3B">
      <w:pPr>
        <w:jc w:val="both"/>
        <w:rPr>
          <w:rFonts w:ascii="Arial" w:hAnsi="Arial" w:cs="Arial"/>
          <w:sz w:val="24"/>
          <w:szCs w:val="24"/>
        </w:rPr>
      </w:pPr>
    </w:p>
    <w:p w:rsidR="00AA3E3B" w:rsidRPr="00AA3E3B" w:rsidRDefault="00AA3E3B" w:rsidP="00AA3E3B">
      <w:pPr>
        <w:jc w:val="both"/>
        <w:rPr>
          <w:rFonts w:ascii="Arial" w:hAnsi="Arial" w:cs="Arial"/>
          <w:sz w:val="24"/>
          <w:szCs w:val="24"/>
        </w:rPr>
      </w:pPr>
    </w:p>
    <w:p w:rsidR="00AA3E3B" w:rsidRPr="00AA3E3B" w:rsidRDefault="00AA3E3B" w:rsidP="00AA3E3B">
      <w:pPr>
        <w:jc w:val="both"/>
        <w:rPr>
          <w:rFonts w:ascii="Arial" w:hAnsi="Arial" w:cs="Arial"/>
          <w:sz w:val="24"/>
          <w:szCs w:val="24"/>
        </w:rPr>
      </w:pPr>
    </w:p>
    <w:p w:rsidR="00AA3E3B" w:rsidRPr="00BF6F5C" w:rsidRDefault="00AA3E3B" w:rsidP="00AA3E3B">
      <w:pPr>
        <w:jc w:val="both"/>
        <w:rPr>
          <w:rFonts w:ascii="Arial" w:hAnsi="Arial" w:cs="Arial"/>
          <w:b/>
          <w:sz w:val="24"/>
          <w:szCs w:val="24"/>
        </w:rPr>
      </w:pPr>
      <w:r w:rsidRPr="00BF6F5C">
        <w:rPr>
          <w:rFonts w:ascii="Arial" w:hAnsi="Arial" w:cs="Arial"/>
          <w:b/>
          <w:sz w:val="24"/>
          <w:szCs w:val="24"/>
        </w:rPr>
        <w:lastRenderedPageBreak/>
        <w:t>Zdravotnictví v roce 2015 na vlně stability</w:t>
      </w:r>
    </w:p>
    <w:p w:rsidR="00AA3E3B" w:rsidRPr="00AA3E3B" w:rsidRDefault="00AA3E3B" w:rsidP="00AA3E3B">
      <w:pPr>
        <w:spacing w:before="100" w:beforeAutospacing="1" w:after="100" w:afterAutospacing="1" w:line="240" w:lineRule="auto"/>
        <w:jc w:val="both"/>
        <w:outlineLvl w:val="4"/>
        <w:rPr>
          <w:rFonts w:ascii="Arial" w:eastAsia="Times New Roman" w:hAnsi="Arial" w:cs="Arial"/>
          <w:bCs/>
          <w:sz w:val="24"/>
          <w:szCs w:val="24"/>
          <w:lang w:eastAsia="cs-CZ"/>
        </w:rPr>
      </w:pPr>
      <w:proofErr w:type="gramStart"/>
      <w:r w:rsidRPr="00AA3E3B">
        <w:rPr>
          <w:rFonts w:ascii="Arial" w:eastAsia="Times New Roman" w:hAnsi="Arial" w:cs="Arial"/>
          <w:bCs/>
          <w:sz w:val="24"/>
          <w:szCs w:val="24"/>
          <w:lang w:eastAsia="cs-CZ"/>
        </w:rPr>
        <w:t>17.12.2014</w:t>
      </w:r>
      <w:proofErr w:type="gramEnd"/>
    </w:p>
    <w:p w:rsidR="00AA3E3B" w:rsidRPr="00AA3E3B" w:rsidRDefault="00AA3E3B" w:rsidP="00AA3E3B">
      <w:pPr>
        <w:spacing w:before="100" w:beforeAutospacing="1" w:after="100" w:afterAutospacing="1" w:line="240" w:lineRule="auto"/>
        <w:jc w:val="both"/>
        <w:rPr>
          <w:rFonts w:ascii="Arial" w:eastAsia="Times New Roman" w:hAnsi="Arial" w:cs="Arial"/>
          <w:sz w:val="24"/>
          <w:szCs w:val="24"/>
          <w:lang w:eastAsia="cs-CZ"/>
        </w:rPr>
      </w:pPr>
      <w:r w:rsidRPr="00AA3E3B">
        <w:rPr>
          <w:rFonts w:ascii="Arial" w:eastAsia="Times New Roman" w:hAnsi="Arial" w:cs="Arial"/>
          <w:sz w:val="24"/>
          <w:szCs w:val="24"/>
          <w:lang w:eastAsia="cs-CZ"/>
        </w:rPr>
        <w:t xml:space="preserve">Věcnou a racionální diskusi a hledání konsenzuálního řešení dalšího vývoje českého zdravotnictví přinesla konference Zdravotnictví 2015, kterou pod záštitou premiéra Bohuslava Sobotky spolu s Unií zaměstnavatelských svazů (UZS) pořádala divize </w:t>
      </w:r>
      <w:proofErr w:type="spellStart"/>
      <w:r w:rsidRPr="00AA3E3B">
        <w:rPr>
          <w:rFonts w:ascii="Arial" w:eastAsia="Times New Roman" w:hAnsi="Arial" w:cs="Arial"/>
          <w:sz w:val="24"/>
          <w:szCs w:val="24"/>
          <w:lang w:eastAsia="cs-CZ"/>
        </w:rPr>
        <w:t>Medical</w:t>
      </w:r>
      <w:proofErr w:type="spellEnd"/>
      <w:r w:rsidRPr="00AA3E3B">
        <w:rPr>
          <w:rFonts w:ascii="Arial" w:eastAsia="Times New Roman" w:hAnsi="Arial" w:cs="Arial"/>
          <w:sz w:val="24"/>
          <w:szCs w:val="24"/>
          <w:lang w:eastAsia="cs-CZ"/>
        </w:rPr>
        <w:t xml:space="preserve"> </w:t>
      </w:r>
      <w:proofErr w:type="spellStart"/>
      <w:r w:rsidRPr="00AA3E3B">
        <w:rPr>
          <w:rFonts w:ascii="Arial" w:eastAsia="Times New Roman" w:hAnsi="Arial" w:cs="Arial"/>
          <w:sz w:val="24"/>
          <w:szCs w:val="24"/>
          <w:lang w:eastAsia="cs-CZ"/>
        </w:rPr>
        <w:t>Services</w:t>
      </w:r>
      <w:proofErr w:type="spellEnd"/>
      <w:r w:rsidRPr="00AA3E3B">
        <w:rPr>
          <w:rFonts w:ascii="Arial" w:eastAsia="Times New Roman" w:hAnsi="Arial" w:cs="Arial"/>
          <w:sz w:val="24"/>
          <w:szCs w:val="24"/>
          <w:lang w:eastAsia="cs-CZ"/>
        </w:rPr>
        <w:t xml:space="preserve"> Mladé fronty, a. s. </w:t>
      </w:r>
    </w:p>
    <w:p w:rsidR="00AA3E3B" w:rsidRPr="00AA3E3B" w:rsidRDefault="00AA3E3B" w:rsidP="00AA3E3B">
      <w:pPr>
        <w:spacing w:before="100" w:beforeAutospacing="1" w:after="100" w:afterAutospacing="1" w:line="240" w:lineRule="auto"/>
        <w:jc w:val="both"/>
        <w:rPr>
          <w:rFonts w:ascii="Arial" w:eastAsia="Times New Roman" w:hAnsi="Arial" w:cs="Arial"/>
          <w:sz w:val="24"/>
          <w:szCs w:val="24"/>
          <w:lang w:eastAsia="cs-CZ"/>
        </w:rPr>
      </w:pPr>
      <w:r w:rsidRPr="00AA3E3B">
        <w:rPr>
          <w:rFonts w:ascii="Arial" w:eastAsia="Times New Roman" w:hAnsi="Arial" w:cs="Arial"/>
          <w:sz w:val="24"/>
          <w:szCs w:val="24"/>
          <w:lang w:eastAsia="cs-CZ"/>
        </w:rPr>
        <w:t xml:space="preserve">Jak uvedl prezident UZS Jiří Horecký, jedním ze zásadních témat, která definují současný stav financování českého zdravotnictví, je úhradová vyhláška pro rok 2015. „Podnětem k diskusi je například pětiprocentní navýšení tarifních platů zdravotníků. Jako zaměstnavatelé jsme požadovali, aby byl tento krok kompenzován právě v úhradové vyhlášce,“ uvedl prezident Horecký, který poděkoval vládě a ministerstvu zdravotnictví, že se pro navýšení tarifních platů rozhodly a že byla akceptována refundace v lůžkovém segmentu, ale i v dlouhodobé péči, resp. u sester v sociálních službách. „Naše připomínka k vyhlášce pramení z představy, že by refundace měla proběhnout všude tam, kde dochází k nárůstu platů. Konkrétně například u záchranných služeb, kde se podle tarifních platů odměňuje a kde jistě dojde k navýšení nákladů,“ uvedl Jiří Horecký s tím, že se management nemocnic obává, že 3% nárůst úhrad, který je zárukou 5% navýšení tarifů, se ve skutečnosti do vyhlášky nepromítne. Ministr zdravotnictví Svatopluk Němeček ale v reakci na obavu nemocnic uvedl, že ministerstvo je otevřeno připomínkám. „Týká se to i úhradové vyhlášky. I zde se </w:t>
      </w:r>
      <w:proofErr w:type="gramStart"/>
      <w:r w:rsidRPr="00AA3E3B">
        <w:rPr>
          <w:rFonts w:ascii="Arial" w:eastAsia="Times New Roman" w:hAnsi="Arial" w:cs="Arial"/>
          <w:sz w:val="24"/>
          <w:szCs w:val="24"/>
          <w:lang w:eastAsia="cs-CZ"/>
        </w:rPr>
        <w:t>snažíme</w:t>
      </w:r>
      <w:proofErr w:type="gramEnd"/>
      <w:r w:rsidRPr="00AA3E3B">
        <w:rPr>
          <w:rFonts w:ascii="Arial" w:eastAsia="Times New Roman" w:hAnsi="Arial" w:cs="Arial"/>
          <w:sz w:val="24"/>
          <w:szCs w:val="24"/>
          <w:lang w:eastAsia="cs-CZ"/>
        </w:rPr>
        <w:t xml:space="preserve"> </w:t>
      </w:r>
      <w:proofErr w:type="gramStart"/>
      <w:r w:rsidRPr="00AA3E3B">
        <w:rPr>
          <w:rFonts w:ascii="Arial" w:eastAsia="Times New Roman" w:hAnsi="Arial" w:cs="Arial"/>
          <w:sz w:val="24"/>
          <w:szCs w:val="24"/>
          <w:lang w:eastAsia="cs-CZ"/>
        </w:rPr>
        <w:t>připomínky</w:t>
      </w:r>
      <w:proofErr w:type="gramEnd"/>
      <w:r w:rsidRPr="00AA3E3B">
        <w:rPr>
          <w:rFonts w:ascii="Arial" w:eastAsia="Times New Roman" w:hAnsi="Arial" w:cs="Arial"/>
          <w:sz w:val="24"/>
          <w:szCs w:val="24"/>
          <w:lang w:eastAsia="cs-CZ"/>
        </w:rPr>
        <w:t xml:space="preserve"> vypořádávat. Ministerstvo udělá všechno pro to, aby se do nemocnic dostalo tříprocentní navýšení úhrad, které by umožnilo plošné pokrytí pětiprocentního navýšení tarifních platů,“ deklaroval ministr Němeček, zároveň ale dodal, že ať ministerstvo úhradovou vyhlášku pojme jakkoli, nikdy stoprocentně nepokryje požadavky všech segmentů. </w:t>
      </w:r>
    </w:p>
    <w:p w:rsidR="00AA3E3B" w:rsidRPr="00AA3E3B" w:rsidRDefault="00AA3E3B" w:rsidP="00AA3E3B">
      <w:pPr>
        <w:pStyle w:val="Normlnweb"/>
        <w:jc w:val="both"/>
        <w:rPr>
          <w:rFonts w:ascii="Arial" w:hAnsi="Arial" w:cs="Arial"/>
        </w:rPr>
      </w:pPr>
      <w:r w:rsidRPr="00AA3E3B">
        <w:rPr>
          <w:rFonts w:ascii="Arial" w:hAnsi="Arial" w:cs="Arial"/>
        </w:rPr>
        <w:t xml:space="preserve">Úrazové pojištění pod zdravotnictví? </w:t>
      </w:r>
    </w:p>
    <w:p w:rsidR="00AA3E3B" w:rsidRPr="00AA3E3B" w:rsidRDefault="00AA3E3B" w:rsidP="00AA3E3B">
      <w:pPr>
        <w:pStyle w:val="Normlnweb"/>
        <w:jc w:val="both"/>
        <w:rPr>
          <w:rFonts w:ascii="Arial" w:hAnsi="Arial" w:cs="Arial"/>
        </w:rPr>
      </w:pPr>
      <w:r w:rsidRPr="00AA3E3B">
        <w:rPr>
          <w:rFonts w:ascii="Arial" w:hAnsi="Arial" w:cs="Arial"/>
        </w:rPr>
        <w:t xml:space="preserve">Mezi další připomínky z řad zástupců zaměstnavatelů ve zdravotnictví patří také nesouhlas se zpřísněním vymezení preskripce indikačních pomůcek. UZS se obává, že povede k poškození praktických lékařů, kteří mají ve svém obvodu větší počet seniorů či mají v péči obyvatele domovů pro seniory. Unie zaměstnavatelů řeší rovněž otázku, zda a jak lze stihnout hladkou kompenzaci regulačních poplatků v lékárnách od ledna příštího roku. (pokračování na straně 2) </w:t>
      </w:r>
    </w:p>
    <w:p w:rsidR="00AA3E3B" w:rsidRPr="00AA3E3B" w:rsidRDefault="00AA3E3B" w:rsidP="00AA3E3B">
      <w:pPr>
        <w:pStyle w:val="Normlnweb"/>
        <w:jc w:val="both"/>
        <w:rPr>
          <w:rFonts w:ascii="Arial" w:hAnsi="Arial" w:cs="Arial"/>
        </w:rPr>
      </w:pPr>
      <w:r w:rsidRPr="00AA3E3B">
        <w:rPr>
          <w:rFonts w:ascii="Arial" w:hAnsi="Arial" w:cs="Arial"/>
        </w:rPr>
        <w:t xml:space="preserve">(pokračování ze str. 1) Se zástupci vedení resortu UZS na konferenci otevřela diskusi nad vývojem systému úrazového pojištění, na které mají dosud monopol dvě komerční pojišťovny. „Zůstává otázkou, zda by toto pojištění mělo za dva roky přejít pod českou správu sociálního zabezpečení, nabízí se ale i varianta převodu úrazového pojištění pod zdravotní pojišťovny, což dává logiku, protože zdravotní pojišťovny se zabývají jak prevencí, tak následky pracovních úrazů a jsou na rozdíl od ČSSZ připraveny tuto problematiku převzít,“ dodal prezident Horecký a připomněl také nutnost revize financování dlouhodobé péče a její rozsáhlejší reformu. </w:t>
      </w:r>
    </w:p>
    <w:p w:rsidR="00AA3E3B" w:rsidRPr="00AA3E3B" w:rsidRDefault="00AA3E3B" w:rsidP="00AA3E3B">
      <w:pPr>
        <w:pStyle w:val="Normlnweb"/>
        <w:jc w:val="both"/>
        <w:rPr>
          <w:rFonts w:ascii="Arial" w:hAnsi="Arial" w:cs="Arial"/>
        </w:rPr>
      </w:pPr>
      <w:r w:rsidRPr="00AA3E3B">
        <w:rPr>
          <w:rFonts w:ascii="Arial" w:hAnsi="Arial" w:cs="Arial"/>
        </w:rPr>
        <w:t xml:space="preserve">Z pohledu ministerstva je resort stabilní </w:t>
      </w:r>
    </w:p>
    <w:p w:rsidR="00AA3E3B" w:rsidRPr="00AA3E3B" w:rsidRDefault="00AA3E3B" w:rsidP="00AA3E3B">
      <w:pPr>
        <w:pStyle w:val="Normlnweb"/>
        <w:jc w:val="both"/>
        <w:rPr>
          <w:rFonts w:ascii="Arial" w:hAnsi="Arial" w:cs="Arial"/>
        </w:rPr>
      </w:pPr>
      <w:r w:rsidRPr="00AA3E3B">
        <w:rPr>
          <w:rFonts w:ascii="Arial" w:hAnsi="Arial" w:cs="Arial"/>
        </w:rPr>
        <w:lastRenderedPageBreak/>
        <w:t xml:space="preserve">I ministr Němeček na konferenci představil záměry svého resortu, mezi něž patří zejména zprovoznění systému, který bude spravedlivě financovat lůžkovou péči tak, aby mezi jednotlivými poskytovateli nezpůsoboval diskrepance. „Jde o systém DRG, který doposud nebyl úplně dopracován, takže neumožňoval ani základní provozní financování. Referenční nemocnice, podle jejichž dat se odvíjelo financování lůžkové péče v České republice, byly dosud čtyři. Z toho plyne, že nemohly pokrýt různorodou skladbu typů lůžkové péče. To se musí změnit. Za DRG nyní převezme zodpovědnost stát. Do dvou až tří let by se podle tohoto modelu mělo začít plně financovat,“ přislíbil Svatopluk Němeček (více o DRG na straně 4). „Dnes jsme ale v situaci, kdy je zdravotnictví pozoruhodně stabilizované. Pokud srovnáváme s kritickým obdobím v letech 2012–2013, kdy byla situace mnohých poskytovatelů podobná krizi, máme nyní stabilizován segment nemocnic (i když jsou zařízení, která z historických důvodů problémy tíží). Stejně tak je stabilizován systém veřejného zdravotního pojištění,“ uvedl ministr Němeček a jako doklad stabilizační iniciativy uvedl situaci Všeobecné zdravotní pojišťovny (VZP), která v posledních letech hospodařila v červených číslech a letos skončí s kladným hospodářským výsledkem. </w:t>
      </w:r>
    </w:p>
    <w:p w:rsidR="00AA3E3B" w:rsidRPr="00AA3E3B" w:rsidRDefault="00AA3E3B" w:rsidP="00AA3E3B">
      <w:pPr>
        <w:pStyle w:val="Normlnweb"/>
        <w:jc w:val="both"/>
        <w:rPr>
          <w:rFonts w:ascii="Arial" w:hAnsi="Arial" w:cs="Arial"/>
        </w:rPr>
      </w:pPr>
      <w:r w:rsidRPr="00AA3E3B">
        <w:rPr>
          <w:rFonts w:ascii="Arial" w:hAnsi="Arial" w:cs="Arial"/>
        </w:rPr>
        <w:t xml:space="preserve">VZP stabilní, ostatní ne </w:t>
      </w:r>
    </w:p>
    <w:p w:rsidR="00AA3E3B" w:rsidRPr="00AA3E3B" w:rsidRDefault="00AA3E3B" w:rsidP="00AA3E3B">
      <w:pPr>
        <w:pStyle w:val="Normlnweb"/>
        <w:jc w:val="both"/>
        <w:rPr>
          <w:rFonts w:ascii="Arial" w:hAnsi="Arial" w:cs="Arial"/>
        </w:rPr>
      </w:pPr>
      <w:r w:rsidRPr="00AA3E3B">
        <w:rPr>
          <w:rFonts w:ascii="Arial" w:hAnsi="Arial" w:cs="Arial"/>
        </w:rPr>
        <w:t xml:space="preserve">Stabilitu pojišťovny na konferenci potvrdil ředitel VZP Zdeněk Kabátek, který pro příští rok ve zdravotně pojistném plánu počítá s případovým paušálem (včetně koeficientů specializace), s jednotnou sazbou, risk koridory i koeficienty přestupu pojištěnců. „V hospitalizační složce budeme vycházet z přibližné měsíční úhrady roku 2014 navýšené o 3 procenta, u ambulantní složky počítáme s referenčním obdobím 2013 a dvouprocentním růstem. Novinkou </w:t>
      </w:r>
      <w:proofErr w:type="spellStart"/>
      <w:r w:rsidRPr="00AA3E3B">
        <w:rPr>
          <w:rFonts w:ascii="Arial" w:hAnsi="Arial" w:cs="Arial"/>
        </w:rPr>
        <w:t>centrové</w:t>
      </w:r>
      <w:proofErr w:type="spellEnd"/>
      <w:r w:rsidRPr="00AA3E3B">
        <w:rPr>
          <w:rFonts w:ascii="Arial" w:hAnsi="Arial" w:cs="Arial"/>
        </w:rPr>
        <w:t xml:space="preserve"> péče bude financování center léčby roztroušené sklerózy, kde bude rozpočet stanovován samostatně a nebude umožněn přesun prostředků na léčbu jiných diagnóz,“ uvedl ředitel Kabátek s tím, že zdravotně pojistný plán pro následující rok je sestaven jako vyrovnaný a že přes všechna negativa je rok 2014 počátkem stabilnější situace ve zdravotnictví a rok 2015 na něj bude dále navazovat. Optimismus v otázce stabilizace zdravotnictví už ale tolik nesdílel prezident Svazu zaměstnaneckých pojišťoven a ředitel Zdravotní pojišťovny ministerstva vnitra (ZPMV) Jaromír </w:t>
      </w:r>
      <w:proofErr w:type="spellStart"/>
      <w:r w:rsidRPr="00AA3E3B">
        <w:rPr>
          <w:rFonts w:ascii="Arial" w:hAnsi="Arial" w:cs="Arial"/>
        </w:rPr>
        <w:t>Gajdáček</w:t>
      </w:r>
      <w:proofErr w:type="spellEnd"/>
      <w:r w:rsidRPr="00AA3E3B">
        <w:rPr>
          <w:rFonts w:ascii="Arial" w:hAnsi="Arial" w:cs="Arial"/>
        </w:rPr>
        <w:t xml:space="preserve">. „Na rozdíl od VZP jsou všechny ostatní zdravotně pojistné plány zaměstnaneckých pojišťoven deficitní. U ZPMV je situace nejmarkantnější, protože odčerpá jednu miliardu korun z uspořených prostředků z minulých let. Na konci roku 2015 bude mít pojišťovna prostředky pouze na dalších pět úhradových dnů. To už není systém pojištění, ale havarijní systém a hašení požáru,“ upozornil prezident </w:t>
      </w:r>
      <w:proofErr w:type="spellStart"/>
      <w:r w:rsidRPr="00AA3E3B">
        <w:rPr>
          <w:rFonts w:ascii="Arial" w:hAnsi="Arial" w:cs="Arial"/>
        </w:rPr>
        <w:t>Gajdáček</w:t>
      </w:r>
      <w:proofErr w:type="spellEnd"/>
      <w:r w:rsidRPr="00AA3E3B">
        <w:rPr>
          <w:rFonts w:ascii="Arial" w:hAnsi="Arial" w:cs="Arial"/>
        </w:rPr>
        <w:t xml:space="preserve">, podle nějž je nastavený pluralitní systém sedmi zdravotních pojišťoven, které si mají konkurovat, po celou dobu jeho fungování narušován. „Pro stát je výhodné, že při nesprávných systémových zásazích může VZP spadnout do červených čísel a stát ztráty poté saturuje. Nabízí to jakousi sociální jistotu. Na druhou stranu to konkurenceschopnost systému velmi narušuje,“ dodal Jaromír </w:t>
      </w:r>
      <w:proofErr w:type="spellStart"/>
      <w:r w:rsidRPr="00AA3E3B">
        <w:rPr>
          <w:rFonts w:ascii="Arial" w:hAnsi="Arial" w:cs="Arial"/>
        </w:rPr>
        <w:t>Gajdáček</w:t>
      </w:r>
      <w:proofErr w:type="spellEnd"/>
      <w:r w:rsidRPr="00AA3E3B">
        <w:rPr>
          <w:rFonts w:ascii="Arial" w:hAnsi="Arial" w:cs="Arial"/>
        </w:rPr>
        <w:t xml:space="preserve">. </w:t>
      </w:r>
    </w:p>
    <w:p w:rsidR="00AA3E3B" w:rsidRPr="00AA3E3B" w:rsidRDefault="00AA3E3B" w:rsidP="00AA3E3B">
      <w:pPr>
        <w:pStyle w:val="Normlnweb"/>
        <w:jc w:val="both"/>
        <w:rPr>
          <w:rFonts w:ascii="Arial" w:hAnsi="Arial" w:cs="Arial"/>
        </w:rPr>
      </w:pPr>
      <w:r w:rsidRPr="00AA3E3B">
        <w:rPr>
          <w:rFonts w:ascii="Arial" w:hAnsi="Arial" w:cs="Arial"/>
        </w:rPr>
        <w:t xml:space="preserve">Prostředky v systému jsou </w:t>
      </w:r>
    </w:p>
    <w:p w:rsidR="00AA3E3B" w:rsidRPr="00AA3E3B" w:rsidRDefault="00AA3E3B" w:rsidP="00AA3E3B">
      <w:pPr>
        <w:pStyle w:val="Normlnweb"/>
        <w:jc w:val="both"/>
        <w:rPr>
          <w:rFonts w:ascii="Arial" w:hAnsi="Arial" w:cs="Arial"/>
        </w:rPr>
      </w:pPr>
      <w:r w:rsidRPr="00AA3E3B">
        <w:rPr>
          <w:rFonts w:ascii="Arial" w:hAnsi="Arial" w:cs="Arial"/>
        </w:rPr>
        <w:t xml:space="preserve">Stejně jako zástupci UZS, také předseda Asociace českých a moravských nemocnic (AČMN) Eduard </w:t>
      </w:r>
      <w:proofErr w:type="spellStart"/>
      <w:r w:rsidRPr="00AA3E3B">
        <w:rPr>
          <w:rFonts w:ascii="Arial" w:hAnsi="Arial" w:cs="Arial"/>
        </w:rPr>
        <w:t>Solich</w:t>
      </w:r>
      <w:proofErr w:type="spellEnd"/>
      <w:r w:rsidRPr="00AA3E3B">
        <w:rPr>
          <w:rFonts w:ascii="Arial" w:hAnsi="Arial" w:cs="Arial"/>
        </w:rPr>
        <w:t xml:space="preserve"> vyjádřil obavu, zda prostředky na navýšení platů do nemocnic fakticky doputují. Jak ale podotkl, financí pro navýšení platů je v českém zdravotnictví dostatek. „Dle ministerstva zdravotnictví je letos v systému všeobecného zdravotního pojištění o 6 procent více prostředků než loni. Zdravotní pojišťovny měly na účtech k </w:t>
      </w:r>
      <w:r w:rsidRPr="00AA3E3B">
        <w:rPr>
          <w:rFonts w:ascii="Arial" w:hAnsi="Arial" w:cs="Arial"/>
        </w:rPr>
        <w:lastRenderedPageBreak/>
        <w:t xml:space="preserve">31. říjnu plus 11,6 miliardy, což ovšem zahrnuje předsunutou platbu 4,8 miliardy, takže jejich pozitivní bilance je přibližně 7 miliard. Predikce České národní banky o růstu HDP v roce 2015 je plus 2,5 procenta. Mzdy podle ministerstva financí v roce 2015 porostou o 3,9 procenta. To vše fond všeobecného zdravotního pojištění navýší,“ vypočetl předseda </w:t>
      </w:r>
      <w:proofErr w:type="spellStart"/>
      <w:r w:rsidRPr="00AA3E3B">
        <w:rPr>
          <w:rFonts w:ascii="Arial" w:hAnsi="Arial" w:cs="Arial"/>
        </w:rPr>
        <w:t>Solich</w:t>
      </w:r>
      <w:proofErr w:type="spellEnd"/>
      <w:r w:rsidRPr="00AA3E3B">
        <w:rPr>
          <w:rFonts w:ascii="Arial" w:hAnsi="Arial" w:cs="Arial"/>
        </w:rPr>
        <w:t xml:space="preserve">. Zároveň ale připomněl, že v souvislosti s politickým rozhodnutím o zvýšení platů se už však nehovoří o zvýšení nákladů mezi lety 2012 a 2015. „Pokud bychom brali v potaz každoroční nárůst inflace o 1 procento, přidali růst DHP o 6 procent a mzdové náklady v průměru o dalších 2,5 procenta, tak jen v těchto čtyřech letech jde o navýšení nákladů na 12,5 procent. Ty pak jdou na úkor vnitřního dluhu nemocnic,“ upozornil Eduard </w:t>
      </w:r>
      <w:proofErr w:type="spellStart"/>
      <w:r w:rsidRPr="00AA3E3B">
        <w:rPr>
          <w:rFonts w:ascii="Arial" w:hAnsi="Arial" w:cs="Arial"/>
        </w:rPr>
        <w:t>Solich</w:t>
      </w:r>
      <w:proofErr w:type="spellEnd"/>
      <w:r w:rsidRPr="00AA3E3B">
        <w:rPr>
          <w:rFonts w:ascii="Arial" w:hAnsi="Arial" w:cs="Arial"/>
        </w:rPr>
        <w:t xml:space="preserve"> a uvedl, že v letech 2012–2013 vzrostly závazky nemocnic z obchodního styku o 22,3 %, ze 4 miliard na 5,2 miliardy. „Takže v podstatě žijeme na dluh našim dodavatelům. To není dlouhodobě udržitelná situace,“ varoval zástupce nemocnic </w:t>
      </w:r>
      <w:proofErr w:type="spellStart"/>
      <w:r w:rsidRPr="00AA3E3B">
        <w:rPr>
          <w:rFonts w:ascii="Arial" w:hAnsi="Arial" w:cs="Arial"/>
        </w:rPr>
        <w:t>Solich</w:t>
      </w:r>
      <w:proofErr w:type="spellEnd"/>
      <w:r w:rsidRPr="00AA3E3B">
        <w:rPr>
          <w:rFonts w:ascii="Arial" w:hAnsi="Arial" w:cs="Arial"/>
        </w:rPr>
        <w:t xml:space="preserve">. </w:t>
      </w:r>
    </w:p>
    <w:p w:rsidR="00AA3E3B" w:rsidRPr="00AA3E3B" w:rsidRDefault="00AA3E3B" w:rsidP="00AA3E3B">
      <w:pPr>
        <w:pStyle w:val="Normlnweb"/>
        <w:jc w:val="both"/>
        <w:rPr>
          <w:rFonts w:ascii="Arial" w:hAnsi="Arial" w:cs="Arial"/>
        </w:rPr>
      </w:pPr>
      <w:r w:rsidRPr="00AA3E3B">
        <w:rPr>
          <w:rFonts w:ascii="Arial" w:hAnsi="Arial" w:cs="Arial"/>
        </w:rPr>
        <w:t xml:space="preserve">Stále větší zadlužování </w:t>
      </w:r>
    </w:p>
    <w:p w:rsidR="00AA3E3B" w:rsidRPr="00AA3E3B" w:rsidRDefault="00AA3E3B" w:rsidP="00AA3E3B">
      <w:pPr>
        <w:pStyle w:val="Normlnweb"/>
        <w:jc w:val="both"/>
        <w:rPr>
          <w:rFonts w:ascii="Arial" w:hAnsi="Arial" w:cs="Arial"/>
        </w:rPr>
      </w:pPr>
      <w:r w:rsidRPr="00AA3E3B">
        <w:rPr>
          <w:rFonts w:ascii="Arial" w:hAnsi="Arial" w:cs="Arial"/>
        </w:rPr>
        <w:t xml:space="preserve">Ministerstvo však tuto skutečnost jako problém nevnímá. „Pokud je mezi dodavatelem a nemocnicí dlouhodobě nastavený vztah, kde je definováno, že platí dva tři měsíce po splatnosti, jako problém to nevidím. Něco jiného je, pokud má nemocnice dlouhodobou platební neschopnost a financování je nekontrolované, ale to nevyřešíme za rok. Nyní to nevnímám jako zásadní systémový problém českých nemocnic,“ odpověděl na dotaz </w:t>
      </w:r>
      <w:proofErr w:type="spellStart"/>
      <w:r w:rsidRPr="00AA3E3B">
        <w:rPr>
          <w:rFonts w:ascii="Arial" w:hAnsi="Arial" w:cs="Arial"/>
        </w:rPr>
        <w:t>ZaM</w:t>
      </w:r>
      <w:proofErr w:type="spellEnd"/>
      <w:r w:rsidRPr="00AA3E3B">
        <w:rPr>
          <w:rFonts w:ascii="Arial" w:hAnsi="Arial" w:cs="Arial"/>
        </w:rPr>
        <w:t xml:space="preserve"> Svatopluk Němeček. Jenže stanovisko asociace nemocnic potvrdil i tajemník Asociace velkodistributorů léčiv (AVEL) Michal </w:t>
      </w:r>
      <w:proofErr w:type="spellStart"/>
      <w:r w:rsidRPr="00AA3E3B">
        <w:rPr>
          <w:rFonts w:ascii="Arial" w:hAnsi="Arial" w:cs="Arial"/>
        </w:rPr>
        <w:t>Krejsta</w:t>
      </w:r>
      <w:proofErr w:type="spellEnd"/>
      <w:r w:rsidRPr="00AA3E3B">
        <w:rPr>
          <w:rFonts w:ascii="Arial" w:hAnsi="Arial" w:cs="Arial"/>
        </w:rPr>
        <w:t xml:space="preserve">. „Dynamizující objem závazků po splatnosti představuje pro systém velký problém. Nemocnice se stávají stále většími věřiteli a jejich neschopnost hradit svoje závazky se stále prohlubuje. Co je ještě horší, podíl těchto závazků po splatnosti akceleruje směrem dolů, tedy že závazky stárnou ve své schopnosti být uhrazeny. Budeme s tím muset počítat i do budoucna, což je pro dodavatele komplikované, protože dodávají léky subjektu, který jim platí – v lepším případě – 180 dní po splatnosti,“ řekl na konferenci Michal </w:t>
      </w:r>
      <w:proofErr w:type="spellStart"/>
      <w:r w:rsidRPr="00AA3E3B">
        <w:rPr>
          <w:rFonts w:ascii="Arial" w:hAnsi="Arial" w:cs="Arial"/>
        </w:rPr>
        <w:t>Krejsta</w:t>
      </w:r>
      <w:proofErr w:type="spellEnd"/>
      <w:r w:rsidRPr="00AA3E3B">
        <w:rPr>
          <w:rFonts w:ascii="Arial" w:hAnsi="Arial" w:cs="Arial"/>
        </w:rPr>
        <w:t xml:space="preserve"> a uvedl, že pokud lze hodnotit závazky nemocnic podle zřizovatele, největšími dlužníky po splatnosti jsou zdravotnická zařízení přímo řízená ministerstvem. </w:t>
      </w:r>
    </w:p>
    <w:p w:rsidR="00AA3E3B" w:rsidRPr="00AA3E3B" w:rsidRDefault="00AA3E3B" w:rsidP="00AA3E3B">
      <w:pPr>
        <w:pStyle w:val="Normlnweb"/>
        <w:jc w:val="both"/>
        <w:rPr>
          <w:rFonts w:ascii="Arial" w:hAnsi="Arial" w:cs="Arial"/>
        </w:rPr>
      </w:pPr>
      <w:r w:rsidRPr="00AA3E3B">
        <w:rPr>
          <w:rFonts w:ascii="Arial" w:hAnsi="Arial" w:cs="Arial"/>
        </w:rPr>
        <w:t xml:space="preserve">Resort je zázrakem efektivity </w:t>
      </w:r>
    </w:p>
    <w:p w:rsidR="00AA3E3B" w:rsidRPr="00AA3E3B" w:rsidRDefault="00AA3E3B" w:rsidP="00AA3E3B">
      <w:pPr>
        <w:pStyle w:val="Normlnweb"/>
        <w:jc w:val="both"/>
        <w:rPr>
          <w:rFonts w:ascii="Arial" w:hAnsi="Arial" w:cs="Arial"/>
        </w:rPr>
      </w:pPr>
      <w:r w:rsidRPr="00AA3E3B">
        <w:rPr>
          <w:rFonts w:ascii="Arial" w:hAnsi="Arial" w:cs="Arial"/>
        </w:rPr>
        <w:t xml:space="preserve">Prezident České lékařské komory (ČLK) Milan Kubek pojmenoval na konferenci dva základní problémy českého zdravotnictví, kterými jsou nedostatek peněz a nedostatek kvalifikovaných zdravotníků. „Zdravotnictví se v poslední době dostává do pozice </w:t>
      </w:r>
      <w:proofErr w:type="spellStart"/>
      <w:r w:rsidRPr="00AA3E3B">
        <w:rPr>
          <w:rFonts w:ascii="Arial" w:hAnsi="Arial" w:cs="Arial"/>
        </w:rPr>
        <w:t>otloukánka</w:t>
      </w:r>
      <w:proofErr w:type="spellEnd"/>
      <w:r w:rsidRPr="00AA3E3B">
        <w:rPr>
          <w:rFonts w:ascii="Arial" w:hAnsi="Arial" w:cs="Arial"/>
        </w:rPr>
        <w:t xml:space="preserve">, přestože úroveň zdravotní péče v České republice je mnohem lepší, než jak vypadá její mediální obraz. Navíc s prostředky, které se do resortu reálně dostávají, jde o zázrak efektivity. A to i navzdory tomu, že ČR patří v Evropské unii k zemím, které vynakládají na zdravotnictví nejméně, ať už v reálných nebo nominálních částkách či jako procento HDP (7,5 procenta),“ ohradil se prezident Kubek. Zmínil také tři historické příčiny destabilizace zdravotnictví – čtyřletou stagnaci plateb za státní pojištěnce, opakované zvyšování DPH a devalvaci koruny, protože podle jeho slov kromě lidské práce nakupujeme za světové ceny. „Vzniká stále větší nerovnováha mezi tím, co od zdravotnictví očekáváme, a tím, co do něj dáváme. Jako prezident ČLK nikdy nemohu obhajovat snížení dostupnosti a kvality zdravotní péče, to ať dělají jiní,“ poukázal Milan Kubek na politické tlaky v rámci i vně resortu a dodal, že obhajuje cestu pro co nejkvalitnější zdravotnický systém. </w:t>
      </w:r>
    </w:p>
    <w:p w:rsidR="00AA3E3B" w:rsidRPr="00AA3E3B" w:rsidRDefault="00AA3E3B" w:rsidP="00AA3E3B">
      <w:pPr>
        <w:pStyle w:val="Normlnweb"/>
        <w:jc w:val="both"/>
        <w:rPr>
          <w:rFonts w:ascii="Arial" w:hAnsi="Arial" w:cs="Arial"/>
        </w:rPr>
      </w:pPr>
      <w:r w:rsidRPr="00AA3E3B">
        <w:rPr>
          <w:rFonts w:ascii="Arial" w:hAnsi="Arial" w:cs="Arial"/>
        </w:rPr>
        <w:lastRenderedPageBreak/>
        <w:t xml:space="preserve">Nedostatek zdravotníků </w:t>
      </w:r>
    </w:p>
    <w:p w:rsidR="00AA3E3B" w:rsidRPr="00AA3E3B" w:rsidRDefault="00AA3E3B" w:rsidP="00AA3E3B">
      <w:pPr>
        <w:pStyle w:val="Normlnweb"/>
        <w:jc w:val="both"/>
        <w:rPr>
          <w:rFonts w:ascii="Arial" w:hAnsi="Arial" w:cs="Arial"/>
        </w:rPr>
      </w:pPr>
      <w:r w:rsidRPr="00AA3E3B">
        <w:rPr>
          <w:rFonts w:ascii="Arial" w:hAnsi="Arial" w:cs="Arial"/>
        </w:rPr>
        <w:t xml:space="preserve">„Pokud nahlédneme do registru ČLK, mohlo by se zdát, že počet lékařů roste, ale členy komory zůstávají i ti lékaři, kteří reálně pracují v zahraničí. Mohou být totiž členy lékařské komory pouze v jedné zemi. Pokud srovnáte příspěvky v ČR a Německu, je efektivnější být členem u nás a pracovat tam. Klesá také počet soukromých lékařů a zejména je třeba vzít v potaz stárnutí lékařů,“ zdůraznil prezident Kubek a upozornil na fakt, že průměrný věk pracujícího lékaře se blíží 50 rokům, v praktické pediatrii průměr dokonce přesahuje 55 let. Celých 22 % lékařů je starších 60 let. Také ekonomická motivace lékařů v ČR podle Milana Kubka nefunguje. „Na zdravotnictví řada subjektů vydělává, ale někdo v něm musí reálně dělat. Bohužel zdravotníci jsou při rozdělování peněz často až na té úplně poslední úrovni a dostávají to, co zbude.“ Navíc trvá emigrace lékařů. Do zahraničí ročně odchází 200 z těch, kteří již v ČR pracovali, ale také 200 čerstvých absolventů českých lékařských fakult. Závažnost tohoto čísla lze zjistit porovnáním počtu promujících ve všeobecném lékařství – je jich 1050 ročně. Tedy 20 % lékařů odejde, aniž by vůbec začalo pracovat v ČR. „Aby se české zdravotnictví nezhroutilo, využíváme lékaře ze Slovenska, pro které je sice atraktivní finančně, ale i oni považují ČR za tranzitní zemi směrem na západ,“ dodal Milan Kubek. </w:t>
      </w:r>
    </w:p>
    <w:p w:rsidR="00AA3E3B" w:rsidRPr="00AA3E3B" w:rsidRDefault="00AA3E3B" w:rsidP="00AA3E3B">
      <w:pPr>
        <w:pStyle w:val="Normlnweb"/>
        <w:jc w:val="both"/>
        <w:rPr>
          <w:rFonts w:ascii="Arial" w:hAnsi="Arial" w:cs="Arial"/>
        </w:rPr>
      </w:pPr>
      <w:r w:rsidRPr="00AA3E3B">
        <w:rPr>
          <w:rFonts w:ascii="Arial" w:hAnsi="Arial" w:cs="Arial"/>
        </w:rPr>
        <w:t xml:space="preserve">Legislativa pro rok 2015 </w:t>
      </w:r>
    </w:p>
    <w:p w:rsidR="00AA3E3B" w:rsidRPr="00AA3E3B" w:rsidRDefault="00AA3E3B" w:rsidP="00AA3E3B">
      <w:pPr>
        <w:pStyle w:val="Normlnweb"/>
        <w:jc w:val="both"/>
        <w:rPr>
          <w:rFonts w:ascii="Arial" w:hAnsi="Arial" w:cs="Arial"/>
        </w:rPr>
      </w:pPr>
      <w:r w:rsidRPr="00AA3E3B">
        <w:rPr>
          <w:rFonts w:ascii="Arial" w:hAnsi="Arial" w:cs="Arial"/>
        </w:rPr>
        <w:t xml:space="preserve">Nové právní formy v příštím roce se dostane tzv. veřejným nemocnicím, které doteď disponovaly statutem příspěvkových organizací. „Dosavadní status v mnoha ohledech nevyhovuje. Část poskytovatelů zvolila cestu obchodní společnosti, což u zařízení, která nejsou ustanovena primárně za účelem zisku, také není nejvhodnější,“ sdělil ministr zdravotnictví a dodal, že v prvním pololetí příštího roku bude předložen zákon, který vytvoří pro tyto společnosti právní formu šitou na míru, umožní efektivní fungování, bude transparentní pro veřejnost a zaměstnancům zaručí jisté příjmy. Ministerstvo navíc předpokládá daňové zvýhodnění těchto subjektů, které budou mít podle Svatopluka Němečka prioritu při zařazování do sítě. Novou legislativní normu připravuje ministerstvo také pro systém postgraduálního vzdělávání lékařů. „Systém je skutečně v rozkladu, je rozdroben, nepřátelský vůči studujícím, kteří se zčásti rozhodují, že budou absolvovat v jiné zemi. Do konce tohoto roku budeme mít definitivní věcný záměr zákona a na počátku roku příštího normu předložíme ke schválení,“ informoval ministr. Možnosti zlepšení vidí Svatopluk Němeček také v zintenzivnění motivace ke kvalitě ve zdravotnictví. „Řada poskytovatelů, navzdory dosavadní pasivitě státu, odvedla ve zvyšování kvality spoustu práce, kterou dosud nikdo příliš neocenil. Chceme v prvním kvartálu příštího roku dát k diskusi Národní strategii kvality bezpečí péče, kde chceme nastavit její dlouhodobé parametry,“ sdělil ministr resortu, který také dle svých slov intenzivně spolupracuje s ministryní práce a sociálních věcí Michaelou </w:t>
      </w:r>
      <w:proofErr w:type="spellStart"/>
      <w:r w:rsidRPr="00AA3E3B">
        <w:rPr>
          <w:rFonts w:ascii="Arial" w:hAnsi="Arial" w:cs="Arial"/>
        </w:rPr>
        <w:t>Marksovou-Tominovou</w:t>
      </w:r>
      <w:proofErr w:type="spellEnd"/>
      <w:r w:rsidRPr="00AA3E3B">
        <w:rPr>
          <w:rFonts w:ascii="Arial" w:hAnsi="Arial" w:cs="Arial"/>
        </w:rPr>
        <w:t xml:space="preserve"> na záměru meziresortního překryvu poskytování dlouhodobé péče. </w:t>
      </w:r>
    </w:p>
    <w:p w:rsidR="00AA3E3B" w:rsidRPr="00AA3E3B" w:rsidRDefault="00AA3E3B" w:rsidP="00AA3E3B">
      <w:pPr>
        <w:pStyle w:val="Normlnweb"/>
        <w:jc w:val="both"/>
        <w:rPr>
          <w:rFonts w:ascii="Arial" w:hAnsi="Arial" w:cs="Arial"/>
        </w:rPr>
      </w:pPr>
      <w:r w:rsidRPr="00AA3E3B">
        <w:rPr>
          <w:rFonts w:ascii="Arial" w:hAnsi="Arial" w:cs="Arial"/>
        </w:rPr>
        <w:t xml:space="preserve">** </w:t>
      </w:r>
    </w:p>
    <w:p w:rsidR="00AA3E3B" w:rsidRPr="00AA3E3B" w:rsidRDefault="00AA3E3B" w:rsidP="00AA3E3B">
      <w:pPr>
        <w:pStyle w:val="Normlnweb"/>
        <w:jc w:val="both"/>
        <w:rPr>
          <w:rFonts w:ascii="Arial" w:hAnsi="Arial" w:cs="Arial"/>
        </w:rPr>
      </w:pPr>
      <w:r w:rsidRPr="00AA3E3B">
        <w:rPr>
          <w:rFonts w:ascii="Arial" w:hAnsi="Arial" w:cs="Arial"/>
        </w:rPr>
        <w:t xml:space="preserve">Svatopluk Němeček: Dnes jsme v situaci, kdy je zdravotnictví pozoruhodně stabilizované. Tendry v nemocnicích </w:t>
      </w:r>
    </w:p>
    <w:p w:rsidR="00AA3E3B" w:rsidRPr="00AA3E3B" w:rsidRDefault="00AA3E3B" w:rsidP="00AA3E3B">
      <w:pPr>
        <w:pStyle w:val="Normlnweb"/>
        <w:jc w:val="both"/>
        <w:rPr>
          <w:rFonts w:ascii="Arial" w:hAnsi="Arial" w:cs="Arial"/>
        </w:rPr>
      </w:pPr>
      <w:r w:rsidRPr="00AA3E3B">
        <w:rPr>
          <w:rFonts w:ascii="Arial" w:hAnsi="Arial" w:cs="Arial"/>
        </w:rPr>
        <w:lastRenderedPageBreak/>
        <w:t xml:space="preserve">V rámci tématu tendry v nemocnicích byla na konferenci Zdravotnictví 2015 zmíněna problematika veřejných zakázek na spotřební zdravotnický materiál. Jak upozornil právník Mgr. Lukáš Kohout, řada subjektů při výběrových řízeních porušuje odstavec 13 zákona o veřejných zakázkách umělým snižováním předpokládané hodnoty pod finanční limity stanovené zákonem (pod 2 miliony Kč bez DPH). Dalším rizikem, kterému se nemocnice vystavují, je porušování povinnosti sečíst hodnotu obdobných, spolu souvisejících dodávek pořizovaných v průběhu účetního období. </w:t>
      </w:r>
    </w:p>
    <w:p w:rsidR="00AA3E3B" w:rsidRPr="00AA3E3B" w:rsidRDefault="00AA3E3B" w:rsidP="00AA3E3B">
      <w:pPr>
        <w:pStyle w:val="Normlnweb"/>
        <w:jc w:val="both"/>
        <w:rPr>
          <w:rFonts w:ascii="Arial" w:hAnsi="Arial" w:cs="Arial"/>
        </w:rPr>
      </w:pPr>
      <w:r w:rsidRPr="00AA3E3B">
        <w:rPr>
          <w:rFonts w:ascii="Arial" w:hAnsi="Arial" w:cs="Arial"/>
        </w:rPr>
        <w:t>Prezident UZS Jiří Horecký a ministr zdravotnictví Svatopluk Němeček</w:t>
      </w:r>
      <w:r w:rsidRPr="00AA3E3B">
        <w:rPr>
          <w:rFonts w:ascii="Arial" w:hAnsi="Arial" w:cs="Arial"/>
        </w:rPr>
        <w:br/>
        <w:t xml:space="preserve">Premiér Bohuslav Sobotka a Jiří Horecký Prezident ČLK Milan Kubek </w:t>
      </w:r>
    </w:p>
    <w:p w:rsidR="00AA3E3B" w:rsidRPr="00AA3E3B" w:rsidRDefault="00AA3E3B" w:rsidP="00AA3E3B">
      <w:pPr>
        <w:jc w:val="both"/>
        <w:rPr>
          <w:rFonts w:ascii="Arial" w:hAnsi="Arial" w:cs="Arial"/>
          <w:sz w:val="24"/>
          <w:szCs w:val="24"/>
        </w:rPr>
      </w:pPr>
    </w:p>
    <w:p w:rsidR="00AA3E3B" w:rsidRPr="00AA3E3B" w:rsidRDefault="00AA3E3B" w:rsidP="00AA3E3B">
      <w:pPr>
        <w:jc w:val="both"/>
        <w:rPr>
          <w:rFonts w:ascii="Arial" w:hAnsi="Arial" w:cs="Arial"/>
          <w:sz w:val="24"/>
          <w:szCs w:val="24"/>
        </w:rPr>
      </w:pPr>
    </w:p>
    <w:p w:rsidR="00AA3E3B" w:rsidRPr="00AA3E3B" w:rsidRDefault="00AA3E3B" w:rsidP="00AA3E3B">
      <w:pPr>
        <w:jc w:val="both"/>
        <w:rPr>
          <w:rFonts w:ascii="Arial" w:hAnsi="Arial" w:cs="Arial"/>
          <w:sz w:val="24"/>
          <w:szCs w:val="24"/>
        </w:rPr>
      </w:pPr>
    </w:p>
    <w:p w:rsidR="00AA3E3B" w:rsidRPr="00AA3E3B" w:rsidRDefault="00AA3E3B" w:rsidP="00AA3E3B">
      <w:pPr>
        <w:jc w:val="both"/>
        <w:rPr>
          <w:rFonts w:ascii="Arial" w:hAnsi="Arial" w:cs="Arial"/>
          <w:sz w:val="24"/>
          <w:szCs w:val="24"/>
        </w:rPr>
      </w:pPr>
    </w:p>
    <w:p w:rsidR="00AA3E3B" w:rsidRPr="00AA3E3B" w:rsidRDefault="00AA3E3B" w:rsidP="00AA3E3B">
      <w:pPr>
        <w:jc w:val="both"/>
        <w:rPr>
          <w:rFonts w:ascii="Arial" w:hAnsi="Arial" w:cs="Arial"/>
          <w:sz w:val="24"/>
          <w:szCs w:val="24"/>
        </w:rPr>
      </w:pPr>
    </w:p>
    <w:p w:rsidR="00AA3E3B" w:rsidRPr="00AA3E3B" w:rsidRDefault="00AA3E3B" w:rsidP="00AA3E3B">
      <w:pPr>
        <w:jc w:val="both"/>
        <w:rPr>
          <w:rFonts w:ascii="Arial" w:hAnsi="Arial" w:cs="Arial"/>
          <w:sz w:val="24"/>
          <w:szCs w:val="24"/>
        </w:rPr>
      </w:pPr>
    </w:p>
    <w:p w:rsidR="00AA3E3B" w:rsidRPr="00AA3E3B" w:rsidRDefault="00AA3E3B" w:rsidP="00AA3E3B">
      <w:pPr>
        <w:jc w:val="both"/>
        <w:rPr>
          <w:rFonts w:ascii="Arial" w:hAnsi="Arial" w:cs="Arial"/>
          <w:sz w:val="24"/>
          <w:szCs w:val="24"/>
        </w:rPr>
      </w:pPr>
    </w:p>
    <w:p w:rsidR="00AA3E3B" w:rsidRPr="00AA3E3B" w:rsidRDefault="00AA3E3B" w:rsidP="00AA3E3B">
      <w:pPr>
        <w:jc w:val="both"/>
        <w:rPr>
          <w:rFonts w:ascii="Arial" w:hAnsi="Arial" w:cs="Arial"/>
          <w:sz w:val="24"/>
          <w:szCs w:val="24"/>
        </w:rPr>
      </w:pPr>
    </w:p>
    <w:p w:rsidR="00AA3E3B" w:rsidRPr="00AA3E3B" w:rsidRDefault="00AA3E3B" w:rsidP="00AA3E3B">
      <w:pPr>
        <w:jc w:val="both"/>
        <w:rPr>
          <w:rFonts w:ascii="Arial" w:hAnsi="Arial" w:cs="Arial"/>
          <w:sz w:val="24"/>
          <w:szCs w:val="24"/>
        </w:rPr>
      </w:pPr>
    </w:p>
    <w:p w:rsidR="00AA3E3B" w:rsidRPr="00AA3E3B" w:rsidRDefault="00AA3E3B" w:rsidP="00AA3E3B">
      <w:pPr>
        <w:jc w:val="both"/>
        <w:rPr>
          <w:rFonts w:ascii="Arial" w:hAnsi="Arial" w:cs="Arial"/>
          <w:sz w:val="24"/>
          <w:szCs w:val="24"/>
        </w:rPr>
      </w:pPr>
    </w:p>
    <w:p w:rsidR="00AA3E3B" w:rsidRPr="00AA3E3B" w:rsidRDefault="00AA3E3B" w:rsidP="00AA3E3B">
      <w:pPr>
        <w:jc w:val="both"/>
        <w:rPr>
          <w:rFonts w:ascii="Arial" w:hAnsi="Arial" w:cs="Arial"/>
          <w:sz w:val="24"/>
          <w:szCs w:val="24"/>
        </w:rPr>
      </w:pPr>
    </w:p>
    <w:p w:rsidR="00AA3E3B" w:rsidRPr="00AA3E3B" w:rsidRDefault="00AA3E3B" w:rsidP="00AA3E3B">
      <w:pPr>
        <w:jc w:val="both"/>
        <w:rPr>
          <w:rFonts w:ascii="Arial" w:hAnsi="Arial" w:cs="Arial"/>
          <w:sz w:val="24"/>
          <w:szCs w:val="24"/>
        </w:rPr>
      </w:pPr>
    </w:p>
    <w:p w:rsidR="00AA3E3B" w:rsidRPr="00AA3E3B" w:rsidRDefault="00AA3E3B" w:rsidP="00AA3E3B">
      <w:pPr>
        <w:jc w:val="both"/>
        <w:rPr>
          <w:rFonts w:ascii="Arial" w:hAnsi="Arial" w:cs="Arial"/>
          <w:sz w:val="24"/>
          <w:szCs w:val="24"/>
        </w:rPr>
      </w:pPr>
    </w:p>
    <w:p w:rsidR="00AA3E3B" w:rsidRPr="00AA3E3B" w:rsidRDefault="00AA3E3B" w:rsidP="00AA3E3B">
      <w:pPr>
        <w:jc w:val="both"/>
        <w:rPr>
          <w:rFonts w:ascii="Arial" w:hAnsi="Arial" w:cs="Arial"/>
          <w:sz w:val="24"/>
          <w:szCs w:val="24"/>
        </w:rPr>
      </w:pPr>
    </w:p>
    <w:p w:rsidR="00AA3E3B" w:rsidRPr="00AA3E3B" w:rsidRDefault="00AA3E3B" w:rsidP="00AA3E3B">
      <w:pPr>
        <w:jc w:val="both"/>
        <w:rPr>
          <w:rFonts w:ascii="Arial" w:hAnsi="Arial" w:cs="Arial"/>
          <w:sz w:val="24"/>
          <w:szCs w:val="24"/>
        </w:rPr>
      </w:pPr>
    </w:p>
    <w:p w:rsidR="00AA3E3B" w:rsidRPr="00AA3E3B" w:rsidRDefault="00AA3E3B" w:rsidP="00AA3E3B">
      <w:pPr>
        <w:jc w:val="both"/>
        <w:rPr>
          <w:rFonts w:ascii="Arial" w:hAnsi="Arial" w:cs="Arial"/>
          <w:sz w:val="24"/>
          <w:szCs w:val="24"/>
        </w:rPr>
      </w:pPr>
    </w:p>
    <w:p w:rsidR="00AA3E3B" w:rsidRPr="00AA3E3B" w:rsidRDefault="00AA3E3B" w:rsidP="00AA3E3B">
      <w:pPr>
        <w:jc w:val="both"/>
        <w:rPr>
          <w:rFonts w:ascii="Arial" w:hAnsi="Arial" w:cs="Arial"/>
          <w:sz w:val="24"/>
          <w:szCs w:val="24"/>
        </w:rPr>
      </w:pPr>
    </w:p>
    <w:p w:rsidR="00AA3E3B" w:rsidRDefault="00AA3E3B" w:rsidP="00AA3E3B">
      <w:pPr>
        <w:jc w:val="both"/>
        <w:rPr>
          <w:rFonts w:ascii="Arial" w:hAnsi="Arial" w:cs="Arial"/>
          <w:sz w:val="24"/>
          <w:szCs w:val="24"/>
        </w:rPr>
      </w:pPr>
    </w:p>
    <w:p w:rsidR="006D761B" w:rsidRPr="00AA3E3B" w:rsidRDefault="006D761B" w:rsidP="00AA3E3B">
      <w:pPr>
        <w:jc w:val="both"/>
        <w:rPr>
          <w:rFonts w:ascii="Arial" w:hAnsi="Arial" w:cs="Arial"/>
          <w:sz w:val="24"/>
          <w:szCs w:val="24"/>
        </w:rPr>
      </w:pPr>
      <w:bookmarkStart w:id="0" w:name="_GoBack"/>
      <w:bookmarkEnd w:id="0"/>
    </w:p>
    <w:p w:rsidR="00AA3E3B" w:rsidRPr="00AA3E3B" w:rsidRDefault="00AA3E3B" w:rsidP="00AA3E3B">
      <w:pPr>
        <w:jc w:val="both"/>
        <w:rPr>
          <w:rFonts w:ascii="Arial" w:hAnsi="Arial" w:cs="Arial"/>
          <w:sz w:val="24"/>
          <w:szCs w:val="24"/>
        </w:rPr>
      </w:pPr>
    </w:p>
    <w:p w:rsidR="00AA3E3B" w:rsidRPr="00AA3E3B" w:rsidRDefault="00AA3E3B" w:rsidP="00AA3E3B">
      <w:pPr>
        <w:jc w:val="both"/>
        <w:rPr>
          <w:rFonts w:ascii="Arial" w:hAnsi="Arial" w:cs="Arial"/>
          <w:sz w:val="24"/>
          <w:szCs w:val="24"/>
        </w:rPr>
      </w:pPr>
    </w:p>
    <w:p w:rsidR="00AA3E3B" w:rsidRPr="00AA3E3B" w:rsidRDefault="00AA3E3B" w:rsidP="00AA3E3B">
      <w:pPr>
        <w:jc w:val="both"/>
        <w:rPr>
          <w:rFonts w:ascii="Arial" w:hAnsi="Arial" w:cs="Arial"/>
          <w:sz w:val="24"/>
          <w:szCs w:val="24"/>
        </w:rPr>
      </w:pPr>
    </w:p>
    <w:p w:rsidR="00AA3E3B" w:rsidRPr="00BF6F5C" w:rsidRDefault="00AA3E3B" w:rsidP="00AA3E3B">
      <w:pPr>
        <w:pStyle w:val="Nadpis1"/>
        <w:jc w:val="both"/>
        <w:rPr>
          <w:rFonts w:ascii="Arial" w:hAnsi="Arial" w:cs="Arial"/>
          <w:color w:val="auto"/>
          <w:sz w:val="20"/>
          <w:szCs w:val="20"/>
        </w:rPr>
      </w:pPr>
      <w:r w:rsidRPr="00BF6F5C">
        <w:rPr>
          <w:rFonts w:ascii="Arial" w:hAnsi="Arial" w:cs="Arial"/>
          <w:color w:val="auto"/>
          <w:sz w:val="20"/>
          <w:szCs w:val="20"/>
        </w:rPr>
        <w:lastRenderedPageBreak/>
        <w:t>Úhradová vyhláška 2015 přidá na zdravotní služby 10 miliard</w:t>
      </w:r>
    </w:p>
    <w:p w:rsidR="00AA3E3B" w:rsidRPr="00BF6F5C" w:rsidRDefault="00AA3E3B" w:rsidP="00AA3E3B">
      <w:pPr>
        <w:pStyle w:val="Normlnweb"/>
        <w:jc w:val="both"/>
        <w:rPr>
          <w:rFonts w:ascii="Arial" w:hAnsi="Arial" w:cs="Arial"/>
          <w:sz w:val="20"/>
          <w:szCs w:val="20"/>
        </w:rPr>
      </w:pPr>
      <w:proofErr w:type="gramStart"/>
      <w:r w:rsidRPr="00BF6F5C">
        <w:rPr>
          <w:rStyle w:val="date"/>
          <w:rFonts w:ascii="Arial" w:hAnsi="Arial" w:cs="Arial"/>
          <w:sz w:val="20"/>
          <w:szCs w:val="20"/>
        </w:rPr>
        <w:t>17.12.2014</w:t>
      </w:r>
      <w:proofErr w:type="gramEnd"/>
      <w:r w:rsidRPr="00BF6F5C">
        <w:rPr>
          <w:rFonts w:ascii="Arial" w:hAnsi="Arial" w:cs="Arial"/>
          <w:sz w:val="20"/>
          <w:szCs w:val="20"/>
        </w:rPr>
        <w:t xml:space="preserve"> „Návrh úhradové vyhlášky pro rok 2015 je odrazem plnění programového prohlášení vlády. Reflektuje zrušení regulačních poplatků i zvýšení tarifních mezd zaměstnanců ve zdravotnictví o 5 %. V minulosti se opakovaně právě zdravotnictví stávalo terčem populistických a nereálných slibů. My neděláme populistická gesta, řídíme se snahou o stabilní růst oboru a plníme sliby dané našim voličům,“ uvedl k návrhu úhradové vyhlášky ministr zdravotnictví Svatopluk Němeček. </w:t>
      </w:r>
    </w:p>
    <w:p w:rsidR="00AA3E3B" w:rsidRPr="00BF6F5C" w:rsidRDefault="00AA3E3B" w:rsidP="00BF6F5C">
      <w:pPr>
        <w:pStyle w:val="Normlnweb"/>
        <w:rPr>
          <w:rFonts w:ascii="Arial" w:hAnsi="Arial" w:cs="Arial"/>
          <w:sz w:val="20"/>
          <w:szCs w:val="20"/>
        </w:rPr>
      </w:pPr>
      <w:r w:rsidRPr="00BF6F5C">
        <w:rPr>
          <w:rFonts w:ascii="Arial" w:hAnsi="Arial" w:cs="Arial"/>
          <w:sz w:val="20"/>
          <w:szCs w:val="20"/>
        </w:rPr>
        <w:t>Návrh úhradové vyhlášky si klade tyto cíle:</w:t>
      </w:r>
      <w:r w:rsidRPr="00BF6F5C">
        <w:rPr>
          <w:rFonts w:ascii="Arial" w:hAnsi="Arial" w:cs="Arial"/>
          <w:sz w:val="20"/>
          <w:szCs w:val="20"/>
        </w:rPr>
        <w:br/>
        <w:t xml:space="preserve">• Podpořit kvalitní a dostupnou péči v zařízeních poskytujících akutní lůžkovou péči. </w:t>
      </w:r>
      <w:r w:rsidRPr="00BF6F5C">
        <w:rPr>
          <w:rFonts w:ascii="Arial" w:hAnsi="Arial" w:cs="Arial"/>
          <w:sz w:val="20"/>
          <w:szCs w:val="20"/>
        </w:rPr>
        <w:br/>
        <w:t xml:space="preserve">• Podpořit kvalitní a dostupnou péči v zařízeních poskytujících následnou </w:t>
      </w:r>
      <w:r w:rsidRPr="00BF6F5C">
        <w:rPr>
          <w:rFonts w:ascii="Arial" w:hAnsi="Arial" w:cs="Arial"/>
          <w:sz w:val="20"/>
          <w:szCs w:val="20"/>
        </w:rPr>
        <w:br/>
        <w:t>a dlouhodobou péči.</w:t>
      </w:r>
      <w:r w:rsidRPr="00BF6F5C">
        <w:rPr>
          <w:rFonts w:ascii="Arial" w:hAnsi="Arial" w:cs="Arial"/>
          <w:sz w:val="20"/>
          <w:szCs w:val="20"/>
        </w:rPr>
        <w:br/>
        <w:t>• Podpořit kvalitní a dostupnou péči v lázních a ozdravovnách.</w:t>
      </w:r>
      <w:r w:rsidRPr="00BF6F5C">
        <w:rPr>
          <w:rFonts w:ascii="Arial" w:hAnsi="Arial" w:cs="Arial"/>
          <w:sz w:val="20"/>
          <w:szCs w:val="20"/>
        </w:rPr>
        <w:br/>
        <w:t>• Umožnit ostatním poskytovatelům růst, odpovídající finančním možnostem systému.</w:t>
      </w:r>
      <w:r w:rsidRPr="00BF6F5C">
        <w:rPr>
          <w:rFonts w:ascii="Arial" w:hAnsi="Arial" w:cs="Arial"/>
          <w:sz w:val="20"/>
          <w:szCs w:val="20"/>
        </w:rPr>
        <w:br/>
        <w:t>• Pokračovat v narovnávání systému úhrad: pokračovat ve sjednocování způsobu úhrad ambulancím v nemocnicích a mimo nemocnice.</w:t>
      </w:r>
      <w:r w:rsidRPr="00BF6F5C">
        <w:rPr>
          <w:rFonts w:ascii="Arial" w:hAnsi="Arial" w:cs="Arial"/>
          <w:sz w:val="20"/>
          <w:szCs w:val="20"/>
        </w:rPr>
        <w:br/>
        <w:t xml:space="preserve">• Prosazovat mechanismy úhrad, které poskytují všem smluvním stranám motivace ke zvyšování efektivity v poskytování zdravotních služeb hrazených v rámci systému veřejného zdravotního pojištění </w:t>
      </w:r>
      <w:r w:rsidRPr="00BF6F5C">
        <w:rPr>
          <w:rFonts w:ascii="Arial" w:hAnsi="Arial" w:cs="Arial"/>
          <w:sz w:val="20"/>
          <w:szCs w:val="20"/>
        </w:rPr>
        <w:br/>
        <w:t>• Zjednodušit řízení poskytované péče v nemocnicích (snížením segmentace úhrad akutní lůžkové péče, zjednodušením systému regulací)</w:t>
      </w:r>
      <w:r w:rsidRPr="00BF6F5C">
        <w:rPr>
          <w:rFonts w:ascii="Arial" w:hAnsi="Arial" w:cs="Arial"/>
          <w:sz w:val="20"/>
          <w:szCs w:val="20"/>
        </w:rPr>
        <w:br/>
        <w:t>• Učinit systém úhrad jednodušší a transparentnější.</w:t>
      </w:r>
    </w:p>
    <w:p w:rsidR="00AA3E3B" w:rsidRPr="00BF6F5C" w:rsidRDefault="00AA3E3B" w:rsidP="00AA3E3B">
      <w:pPr>
        <w:pStyle w:val="Normlnweb"/>
        <w:jc w:val="both"/>
        <w:rPr>
          <w:rFonts w:ascii="Arial" w:hAnsi="Arial" w:cs="Arial"/>
          <w:sz w:val="20"/>
          <w:szCs w:val="20"/>
        </w:rPr>
      </w:pPr>
      <w:r w:rsidRPr="00BF6F5C">
        <w:rPr>
          <w:rFonts w:ascii="Arial" w:hAnsi="Arial" w:cs="Arial"/>
          <w:sz w:val="20"/>
          <w:szCs w:val="20"/>
        </w:rPr>
        <w:t>Přitom musí návrh pracovat s následujícími fakty.</w:t>
      </w:r>
    </w:p>
    <w:p w:rsidR="00AA3E3B" w:rsidRPr="00BF6F5C" w:rsidRDefault="00AA3E3B" w:rsidP="00AA3E3B">
      <w:pPr>
        <w:pStyle w:val="Normlnweb"/>
        <w:jc w:val="both"/>
        <w:rPr>
          <w:rFonts w:ascii="Arial" w:hAnsi="Arial" w:cs="Arial"/>
          <w:sz w:val="20"/>
          <w:szCs w:val="20"/>
        </w:rPr>
      </w:pPr>
      <w:r w:rsidRPr="00BF6F5C">
        <w:rPr>
          <w:rFonts w:ascii="Arial" w:hAnsi="Arial" w:cs="Arial"/>
          <w:sz w:val="20"/>
          <w:szCs w:val="20"/>
        </w:rPr>
        <w:t>Zaměstnanecké zdravotní pojišťovny (ZZP) evidují ke konci roku 2014 zůstatky na základním fondu v celkové výši 4 miliardy Kč. Všechny zaměstnanecké zdravotní pojišťovny mají naplněny rezervní fondy. Všeobecná zdravotní pojišťovna (VZP) eviduje ke konci roku téměř nulový zůstatek na základním fondu. V roce 2014 nenaplnila rezervní fond. V průběhu roku 2015 splatí VZP 0,5 mld. Kč z poskytnuté návratné finanční výpomoci.</w:t>
      </w:r>
    </w:p>
    <w:p w:rsidR="00AA3E3B" w:rsidRPr="00BF6F5C" w:rsidRDefault="00AA3E3B" w:rsidP="00AA3E3B">
      <w:pPr>
        <w:pStyle w:val="Normlnweb"/>
        <w:jc w:val="both"/>
        <w:rPr>
          <w:rFonts w:ascii="Arial" w:hAnsi="Arial" w:cs="Arial"/>
          <w:sz w:val="20"/>
          <w:szCs w:val="20"/>
        </w:rPr>
      </w:pPr>
      <w:r w:rsidRPr="00BF6F5C">
        <w:rPr>
          <w:rFonts w:ascii="Arial" w:hAnsi="Arial" w:cs="Arial"/>
          <w:sz w:val="20"/>
          <w:szCs w:val="20"/>
        </w:rPr>
        <w:t>Celkové příjmy systému veřejného zdravotního pojištění v roce 2015 se tudíž odhadují na 245,9 mld. Kč a disponibilní zdroje základního fondu zdravotního pojištění na 239 mld. Kč.</w:t>
      </w:r>
    </w:p>
    <w:p w:rsidR="00AA3E3B" w:rsidRPr="00BF6F5C" w:rsidRDefault="00AA3E3B" w:rsidP="00AA3E3B">
      <w:pPr>
        <w:pStyle w:val="Normlnweb"/>
        <w:jc w:val="both"/>
        <w:rPr>
          <w:rFonts w:ascii="Arial" w:hAnsi="Arial" w:cs="Arial"/>
          <w:sz w:val="20"/>
          <w:szCs w:val="20"/>
        </w:rPr>
      </w:pPr>
      <w:r w:rsidRPr="00BF6F5C">
        <w:rPr>
          <w:rFonts w:ascii="Arial" w:hAnsi="Arial" w:cs="Arial"/>
          <w:sz w:val="20"/>
          <w:szCs w:val="20"/>
        </w:rPr>
        <w:t>Oproti roku 2014 se tak očekává zvýšení disponibilních zdrojů pro úhradu zdravotních služeb o 10 miliard Kč. Tento údaj vychází z aktuální predikce stavu ekonomiky ČR v roce 2015, která počítá s nárůstem mezd o 3,8 % a zaměstnanosti o 0,3 % a dále bere v úvahu zvýšení platby za státní pojištěnce, snížení přídělů do provozních a rezervních fondů zdravotních pojišťoven a další možné příjmy.</w:t>
      </w:r>
    </w:p>
    <w:p w:rsidR="00AA3E3B" w:rsidRPr="00BF6F5C" w:rsidRDefault="00AA3E3B" w:rsidP="00AA3E3B">
      <w:pPr>
        <w:pStyle w:val="Normlnweb"/>
        <w:jc w:val="both"/>
        <w:rPr>
          <w:rFonts w:ascii="Arial" w:hAnsi="Arial" w:cs="Arial"/>
          <w:sz w:val="20"/>
          <w:szCs w:val="20"/>
        </w:rPr>
      </w:pPr>
      <w:r w:rsidRPr="00BF6F5C">
        <w:rPr>
          <w:rFonts w:ascii="Arial" w:hAnsi="Arial" w:cs="Arial"/>
          <w:sz w:val="20"/>
          <w:szCs w:val="20"/>
        </w:rPr>
        <w:t>Je nutné dbát také na to, že vláda se zavázala poskytovatelům zdravotních služeb kompenzovat zrušené regulační poplatky, a to do výše skutečně vybraných poplatků v roce 2013, tj. 1,8 mld. Kč za hospitalizace, 1,5 mld. Kč za klinická vyšetření a 0,7 mld. Kč za výdej léků na recept. Zároveň deklarovala i svůj úmysl zvýšit úhrady segmentům, v nichž dojde k nárůstu tabulkových platů.</w:t>
      </w:r>
    </w:p>
    <w:p w:rsidR="00AA3E3B" w:rsidRPr="00BF6F5C" w:rsidRDefault="00AA3E3B" w:rsidP="00AA3E3B">
      <w:pPr>
        <w:pStyle w:val="Normlnweb"/>
        <w:jc w:val="both"/>
        <w:rPr>
          <w:rFonts w:ascii="Arial" w:hAnsi="Arial" w:cs="Arial"/>
          <w:sz w:val="20"/>
          <w:szCs w:val="20"/>
        </w:rPr>
      </w:pPr>
      <w:r w:rsidRPr="00BF6F5C">
        <w:rPr>
          <w:rFonts w:ascii="Arial" w:hAnsi="Arial" w:cs="Arial"/>
          <w:sz w:val="20"/>
          <w:szCs w:val="20"/>
        </w:rPr>
        <w:t>Návrh úhradové vyhlášky již posoudila Legislativní rada vlády a po doručení rozhodnutí LRV bude předán do tisku.</w:t>
      </w:r>
    </w:p>
    <w:p w:rsidR="00AA3E3B" w:rsidRPr="00BF6F5C" w:rsidRDefault="00AA3E3B" w:rsidP="00AA3E3B">
      <w:pPr>
        <w:jc w:val="both"/>
        <w:rPr>
          <w:rFonts w:ascii="Arial" w:hAnsi="Arial" w:cs="Arial"/>
          <w:sz w:val="20"/>
          <w:szCs w:val="20"/>
        </w:rPr>
      </w:pPr>
    </w:p>
    <w:p w:rsidR="00AA3E3B" w:rsidRPr="00BF6F5C" w:rsidRDefault="00AA3E3B" w:rsidP="00AA3E3B">
      <w:pPr>
        <w:jc w:val="both"/>
        <w:rPr>
          <w:rFonts w:ascii="Arial" w:hAnsi="Arial" w:cs="Arial"/>
          <w:sz w:val="20"/>
          <w:szCs w:val="20"/>
        </w:rPr>
      </w:pPr>
    </w:p>
    <w:p w:rsidR="00AA3E3B" w:rsidRPr="00BF6F5C" w:rsidRDefault="00AA3E3B" w:rsidP="00AA3E3B">
      <w:pPr>
        <w:jc w:val="both"/>
        <w:rPr>
          <w:rFonts w:ascii="Arial" w:hAnsi="Arial" w:cs="Arial"/>
          <w:sz w:val="20"/>
          <w:szCs w:val="20"/>
        </w:rPr>
      </w:pPr>
    </w:p>
    <w:p w:rsidR="00AA3E3B" w:rsidRPr="00BF6F5C" w:rsidRDefault="00AA3E3B" w:rsidP="00AA3E3B">
      <w:pPr>
        <w:jc w:val="both"/>
        <w:rPr>
          <w:rFonts w:ascii="Arial" w:hAnsi="Arial" w:cs="Arial"/>
          <w:sz w:val="20"/>
          <w:szCs w:val="20"/>
        </w:rPr>
      </w:pPr>
    </w:p>
    <w:p w:rsidR="00AA3E3B" w:rsidRPr="00BF6F5C" w:rsidRDefault="00AA3E3B" w:rsidP="00AA3E3B">
      <w:pPr>
        <w:jc w:val="both"/>
        <w:rPr>
          <w:rFonts w:ascii="Arial" w:hAnsi="Arial" w:cs="Arial"/>
          <w:sz w:val="20"/>
          <w:szCs w:val="20"/>
        </w:rPr>
      </w:pPr>
    </w:p>
    <w:p w:rsidR="00AA3E3B" w:rsidRPr="00BF6F5C" w:rsidRDefault="00AA3E3B" w:rsidP="00AA3E3B">
      <w:pPr>
        <w:jc w:val="both"/>
        <w:rPr>
          <w:rFonts w:ascii="Arial" w:hAnsi="Arial" w:cs="Arial"/>
          <w:sz w:val="20"/>
          <w:szCs w:val="20"/>
        </w:rPr>
      </w:pPr>
    </w:p>
    <w:p w:rsidR="00AA3E3B" w:rsidRPr="00BF6F5C" w:rsidRDefault="00AA3E3B" w:rsidP="00AA3E3B">
      <w:pPr>
        <w:jc w:val="both"/>
        <w:rPr>
          <w:rFonts w:ascii="Arial" w:hAnsi="Arial" w:cs="Arial"/>
          <w:sz w:val="20"/>
          <w:szCs w:val="20"/>
        </w:rPr>
      </w:pPr>
    </w:p>
    <w:p w:rsidR="00AA3E3B" w:rsidRPr="00BF6F5C" w:rsidRDefault="00AA3E3B" w:rsidP="00AA3E3B">
      <w:pPr>
        <w:jc w:val="both"/>
        <w:rPr>
          <w:rFonts w:ascii="Arial" w:hAnsi="Arial" w:cs="Arial"/>
          <w:sz w:val="20"/>
          <w:szCs w:val="20"/>
        </w:rPr>
      </w:pPr>
    </w:p>
    <w:p w:rsidR="00AA3E3B" w:rsidRPr="00BF6F5C" w:rsidRDefault="00AA3E3B" w:rsidP="00AA3E3B">
      <w:pPr>
        <w:jc w:val="both"/>
        <w:rPr>
          <w:rFonts w:ascii="Arial" w:hAnsi="Arial" w:cs="Arial"/>
          <w:sz w:val="24"/>
          <w:szCs w:val="24"/>
        </w:rPr>
      </w:pPr>
    </w:p>
    <w:sectPr w:rsidR="00AA3E3B" w:rsidRPr="00BF6F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E3B"/>
    <w:rsid w:val="006D761B"/>
    <w:rsid w:val="007C1880"/>
    <w:rsid w:val="008351E1"/>
    <w:rsid w:val="00AA3E3B"/>
    <w:rsid w:val="00BF6F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AA3E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5">
    <w:name w:val="heading 5"/>
    <w:basedOn w:val="Normln"/>
    <w:link w:val="Nadpis5Char"/>
    <w:uiPriority w:val="9"/>
    <w:qFormat/>
    <w:rsid w:val="00AA3E3B"/>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AA3E3B"/>
    <w:rPr>
      <w:b/>
      <w:bCs/>
    </w:rPr>
  </w:style>
  <w:style w:type="character" w:customStyle="1" w:styleId="Nadpis5Char">
    <w:name w:val="Nadpis 5 Char"/>
    <w:basedOn w:val="Standardnpsmoodstavce"/>
    <w:link w:val="Nadpis5"/>
    <w:uiPriority w:val="9"/>
    <w:rsid w:val="00AA3E3B"/>
    <w:rPr>
      <w:rFonts w:ascii="Times New Roman" w:eastAsia="Times New Roman" w:hAnsi="Times New Roman" w:cs="Times New Roman"/>
      <w:b/>
      <w:bCs/>
      <w:sz w:val="20"/>
      <w:szCs w:val="20"/>
      <w:lang w:eastAsia="cs-CZ"/>
    </w:rPr>
  </w:style>
  <w:style w:type="paragraph" w:styleId="Normlnweb">
    <w:name w:val="Normal (Web)"/>
    <w:basedOn w:val="Normln"/>
    <w:uiPriority w:val="99"/>
    <w:semiHidden/>
    <w:unhideWhenUsed/>
    <w:rsid w:val="00AA3E3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AA3E3B"/>
    <w:rPr>
      <w:rFonts w:asciiTheme="majorHAnsi" w:eastAsiaTheme="majorEastAsia" w:hAnsiTheme="majorHAnsi" w:cstheme="majorBidi"/>
      <w:b/>
      <w:bCs/>
      <w:color w:val="365F91" w:themeColor="accent1" w:themeShade="BF"/>
      <w:sz w:val="28"/>
      <w:szCs w:val="28"/>
    </w:rPr>
  </w:style>
  <w:style w:type="character" w:customStyle="1" w:styleId="date">
    <w:name w:val="date"/>
    <w:basedOn w:val="Standardnpsmoodstavce"/>
    <w:rsid w:val="00AA3E3B"/>
  </w:style>
  <w:style w:type="paragraph" w:styleId="Textbubliny">
    <w:name w:val="Balloon Text"/>
    <w:basedOn w:val="Normln"/>
    <w:link w:val="TextbublinyChar"/>
    <w:uiPriority w:val="99"/>
    <w:semiHidden/>
    <w:unhideWhenUsed/>
    <w:rsid w:val="006D761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D76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AA3E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5">
    <w:name w:val="heading 5"/>
    <w:basedOn w:val="Normln"/>
    <w:link w:val="Nadpis5Char"/>
    <w:uiPriority w:val="9"/>
    <w:qFormat/>
    <w:rsid w:val="00AA3E3B"/>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AA3E3B"/>
    <w:rPr>
      <w:b/>
      <w:bCs/>
    </w:rPr>
  </w:style>
  <w:style w:type="character" w:customStyle="1" w:styleId="Nadpis5Char">
    <w:name w:val="Nadpis 5 Char"/>
    <w:basedOn w:val="Standardnpsmoodstavce"/>
    <w:link w:val="Nadpis5"/>
    <w:uiPriority w:val="9"/>
    <w:rsid w:val="00AA3E3B"/>
    <w:rPr>
      <w:rFonts w:ascii="Times New Roman" w:eastAsia="Times New Roman" w:hAnsi="Times New Roman" w:cs="Times New Roman"/>
      <w:b/>
      <w:bCs/>
      <w:sz w:val="20"/>
      <w:szCs w:val="20"/>
      <w:lang w:eastAsia="cs-CZ"/>
    </w:rPr>
  </w:style>
  <w:style w:type="paragraph" w:styleId="Normlnweb">
    <w:name w:val="Normal (Web)"/>
    <w:basedOn w:val="Normln"/>
    <w:uiPriority w:val="99"/>
    <w:semiHidden/>
    <w:unhideWhenUsed/>
    <w:rsid w:val="00AA3E3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AA3E3B"/>
    <w:rPr>
      <w:rFonts w:asciiTheme="majorHAnsi" w:eastAsiaTheme="majorEastAsia" w:hAnsiTheme="majorHAnsi" w:cstheme="majorBidi"/>
      <w:b/>
      <w:bCs/>
      <w:color w:val="365F91" w:themeColor="accent1" w:themeShade="BF"/>
      <w:sz w:val="28"/>
      <w:szCs w:val="28"/>
    </w:rPr>
  </w:style>
  <w:style w:type="character" w:customStyle="1" w:styleId="date">
    <w:name w:val="date"/>
    <w:basedOn w:val="Standardnpsmoodstavce"/>
    <w:rsid w:val="00AA3E3B"/>
  </w:style>
  <w:style w:type="paragraph" w:styleId="Textbubliny">
    <w:name w:val="Balloon Text"/>
    <w:basedOn w:val="Normln"/>
    <w:link w:val="TextbublinyChar"/>
    <w:uiPriority w:val="99"/>
    <w:semiHidden/>
    <w:unhideWhenUsed/>
    <w:rsid w:val="006D761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D76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10414">
      <w:bodyDiv w:val="1"/>
      <w:marLeft w:val="0"/>
      <w:marRight w:val="0"/>
      <w:marTop w:val="0"/>
      <w:marBottom w:val="0"/>
      <w:divBdr>
        <w:top w:val="none" w:sz="0" w:space="0" w:color="auto"/>
        <w:left w:val="none" w:sz="0" w:space="0" w:color="auto"/>
        <w:bottom w:val="none" w:sz="0" w:space="0" w:color="auto"/>
        <w:right w:val="none" w:sz="0" w:space="0" w:color="auto"/>
      </w:divBdr>
      <w:divsChild>
        <w:div w:id="1433865704">
          <w:marLeft w:val="0"/>
          <w:marRight w:val="0"/>
          <w:marTop w:val="0"/>
          <w:marBottom w:val="0"/>
          <w:divBdr>
            <w:top w:val="none" w:sz="0" w:space="0" w:color="auto"/>
            <w:left w:val="none" w:sz="0" w:space="0" w:color="auto"/>
            <w:bottom w:val="none" w:sz="0" w:space="0" w:color="auto"/>
            <w:right w:val="none" w:sz="0" w:space="0" w:color="auto"/>
          </w:divBdr>
          <w:divsChild>
            <w:div w:id="1226650156">
              <w:marLeft w:val="0"/>
              <w:marRight w:val="0"/>
              <w:marTop w:val="0"/>
              <w:marBottom w:val="0"/>
              <w:divBdr>
                <w:top w:val="none" w:sz="0" w:space="0" w:color="auto"/>
                <w:left w:val="none" w:sz="0" w:space="0" w:color="auto"/>
                <w:bottom w:val="none" w:sz="0" w:space="0" w:color="auto"/>
                <w:right w:val="none" w:sz="0" w:space="0" w:color="auto"/>
              </w:divBdr>
              <w:divsChild>
                <w:div w:id="241841584">
                  <w:marLeft w:val="0"/>
                  <w:marRight w:val="0"/>
                  <w:marTop w:val="0"/>
                  <w:marBottom w:val="0"/>
                  <w:divBdr>
                    <w:top w:val="none" w:sz="0" w:space="0" w:color="auto"/>
                    <w:left w:val="none" w:sz="0" w:space="0" w:color="auto"/>
                    <w:bottom w:val="none" w:sz="0" w:space="0" w:color="auto"/>
                    <w:right w:val="none" w:sz="0" w:space="0" w:color="auto"/>
                  </w:divBdr>
                  <w:divsChild>
                    <w:div w:id="1068960616">
                      <w:marLeft w:val="0"/>
                      <w:marRight w:val="0"/>
                      <w:marTop w:val="0"/>
                      <w:marBottom w:val="0"/>
                      <w:divBdr>
                        <w:top w:val="none" w:sz="0" w:space="0" w:color="auto"/>
                        <w:left w:val="none" w:sz="0" w:space="0" w:color="auto"/>
                        <w:bottom w:val="none" w:sz="0" w:space="0" w:color="auto"/>
                        <w:right w:val="none" w:sz="0" w:space="0" w:color="auto"/>
                      </w:divBdr>
                      <w:divsChild>
                        <w:div w:id="1345785355">
                          <w:marLeft w:val="0"/>
                          <w:marRight w:val="0"/>
                          <w:marTop w:val="0"/>
                          <w:marBottom w:val="0"/>
                          <w:divBdr>
                            <w:top w:val="none" w:sz="0" w:space="0" w:color="auto"/>
                            <w:left w:val="none" w:sz="0" w:space="0" w:color="auto"/>
                            <w:bottom w:val="none" w:sz="0" w:space="0" w:color="auto"/>
                            <w:right w:val="none" w:sz="0" w:space="0" w:color="auto"/>
                          </w:divBdr>
                          <w:divsChild>
                            <w:div w:id="1039353219">
                              <w:marLeft w:val="0"/>
                              <w:marRight w:val="0"/>
                              <w:marTop w:val="0"/>
                              <w:marBottom w:val="0"/>
                              <w:divBdr>
                                <w:top w:val="none" w:sz="0" w:space="0" w:color="auto"/>
                                <w:left w:val="none" w:sz="0" w:space="0" w:color="auto"/>
                                <w:bottom w:val="none" w:sz="0" w:space="0" w:color="auto"/>
                                <w:right w:val="none" w:sz="0" w:space="0" w:color="auto"/>
                              </w:divBdr>
                              <w:divsChild>
                                <w:div w:id="1770849679">
                                  <w:marLeft w:val="0"/>
                                  <w:marRight w:val="0"/>
                                  <w:marTop w:val="0"/>
                                  <w:marBottom w:val="0"/>
                                  <w:divBdr>
                                    <w:top w:val="none" w:sz="0" w:space="0" w:color="auto"/>
                                    <w:left w:val="none" w:sz="0" w:space="0" w:color="auto"/>
                                    <w:bottom w:val="none" w:sz="0" w:space="0" w:color="auto"/>
                                    <w:right w:val="none" w:sz="0" w:space="0" w:color="auto"/>
                                  </w:divBdr>
                                  <w:divsChild>
                                    <w:div w:id="627785818">
                                      <w:marLeft w:val="0"/>
                                      <w:marRight w:val="0"/>
                                      <w:marTop w:val="0"/>
                                      <w:marBottom w:val="0"/>
                                      <w:divBdr>
                                        <w:top w:val="none" w:sz="0" w:space="0" w:color="auto"/>
                                        <w:left w:val="none" w:sz="0" w:space="0" w:color="auto"/>
                                        <w:bottom w:val="none" w:sz="0" w:space="0" w:color="auto"/>
                                        <w:right w:val="none" w:sz="0" w:space="0" w:color="auto"/>
                                      </w:divBdr>
                                      <w:divsChild>
                                        <w:div w:id="1149597045">
                                          <w:marLeft w:val="0"/>
                                          <w:marRight w:val="0"/>
                                          <w:marTop w:val="0"/>
                                          <w:marBottom w:val="0"/>
                                          <w:divBdr>
                                            <w:top w:val="none" w:sz="0" w:space="0" w:color="auto"/>
                                            <w:left w:val="none" w:sz="0" w:space="0" w:color="auto"/>
                                            <w:bottom w:val="none" w:sz="0" w:space="0" w:color="auto"/>
                                            <w:right w:val="none" w:sz="0" w:space="0" w:color="auto"/>
                                          </w:divBdr>
                                          <w:divsChild>
                                            <w:div w:id="97533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9238475">
      <w:bodyDiv w:val="1"/>
      <w:marLeft w:val="75"/>
      <w:marRight w:val="75"/>
      <w:marTop w:val="0"/>
      <w:marBottom w:val="0"/>
      <w:divBdr>
        <w:top w:val="none" w:sz="0" w:space="0" w:color="auto"/>
        <w:left w:val="none" w:sz="0" w:space="0" w:color="auto"/>
        <w:bottom w:val="none" w:sz="0" w:space="0" w:color="auto"/>
        <w:right w:val="none" w:sz="0" w:space="0" w:color="auto"/>
      </w:divBdr>
      <w:divsChild>
        <w:div w:id="1774784350">
          <w:marLeft w:val="0"/>
          <w:marRight w:val="0"/>
          <w:marTop w:val="0"/>
          <w:marBottom w:val="150"/>
          <w:divBdr>
            <w:top w:val="none" w:sz="0" w:space="0" w:color="auto"/>
            <w:left w:val="none" w:sz="0" w:space="0" w:color="auto"/>
            <w:bottom w:val="none" w:sz="0" w:space="0" w:color="auto"/>
            <w:right w:val="none" w:sz="0" w:space="0" w:color="auto"/>
          </w:divBdr>
          <w:divsChild>
            <w:div w:id="1409964808">
              <w:marLeft w:val="0"/>
              <w:marRight w:val="0"/>
              <w:marTop w:val="0"/>
              <w:marBottom w:val="0"/>
              <w:divBdr>
                <w:top w:val="none" w:sz="0" w:space="0" w:color="auto"/>
                <w:left w:val="none" w:sz="0" w:space="0" w:color="auto"/>
                <w:bottom w:val="none" w:sz="0" w:space="0" w:color="auto"/>
                <w:right w:val="none" w:sz="0" w:space="0" w:color="auto"/>
              </w:divBdr>
              <w:divsChild>
                <w:div w:id="2129741758">
                  <w:marLeft w:val="0"/>
                  <w:marRight w:val="0"/>
                  <w:marTop w:val="75"/>
                  <w:marBottom w:val="75"/>
                  <w:divBdr>
                    <w:top w:val="none" w:sz="0" w:space="0" w:color="auto"/>
                    <w:left w:val="none" w:sz="0" w:space="0" w:color="auto"/>
                    <w:bottom w:val="none" w:sz="0" w:space="0" w:color="auto"/>
                    <w:right w:val="none" w:sz="0" w:space="0" w:color="auto"/>
                  </w:divBdr>
                  <w:divsChild>
                    <w:div w:id="892886946">
                      <w:marLeft w:val="-100"/>
                      <w:marRight w:val="0"/>
                      <w:marTop w:val="0"/>
                      <w:marBottom w:val="0"/>
                      <w:divBdr>
                        <w:top w:val="none" w:sz="0" w:space="0" w:color="auto"/>
                        <w:left w:val="none" w:sz="0" w:space="0" w:color="auto"/>
                        <w:bottom w:val="none" w:sz="0" w:space="0" w:color="auto"/>
                        <w:right w:val="none" w:sz="0" w:space="0" w:color="auto"/>
                      </w:divBdr>
                      <w:divsChild>
                        <w:div w:id="1034845297">
                          <w:marLeft w:val="0"/>
                          <w:marRight w:val="0"/>
                          <w:marTop w:val="0"/>
                          <w:marBottom w:val="0"/>
                          <w:divBdr>
                            <w:top w:val="none" w:sz="0" w:space="0" w:color="auto"/>
                            <w:left w:val="none" w:sz="0" w:space="0" w:color="auto"/>
                            <w:bottom w:val="none" w:sz="0" w:space="0" w:color="auto"/>
                            <w:right w:val="none" w:sz="0" w:space="0" w:color="auto"/>
                          </w:divBdr>
                          <w:divsChild>
                            <w:div w:id="14274550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0884167">
      <w:bodyDiv w:val="1"/>
      <w:marLeft w:val="0"/>
      <w:marRight w:val="0"/>
      <w:marTop w:val="0"/>
      <w:marBottom w:val="0"/>
      <w:divBdr>
        <w:top w:val="none" w:sz="0" w:space="0" w:color="auto"/>
        <w:left w:val="none" w:sz="0" w:space="0" w:color="auto"/>
        <w:bottom w:val="none" w:sz="0" w:space="0" w:color="auto"/>
        <w:right w:val="none" w:sz="0" w:space="0" w:color="auto"/>
      </w:divBdr>
      <w:divsChild>
        <w:div w:id="2082487545">
          <w:marLeft w:val="0"/>
          <w:marRight w:val="0"/>
          <w:marTop w:val="0"/>
          <w:marBottom w:val="0"/>
          <w:divBdr>
            <w:top w:val="none" w:sz="0" w:space="0" w:color="auto"/>
            <w:left w:val="none" w:sz="0" w:space="0" w:color="auto"/>
            <w:bottom w:val="none" w:sz="0" w:space="0" w:color="auto"/>
            <w:right w:val="none" w:sz="0" w:space="0" w:color="auto"/>
          </w:divBdr>
          <w:divsChild>
            <w:div w:id="688411383">
              <w:marLeft w:val="0"/>
              <w:marRight w:val="0"/>
              <w:marTop w:val="0"/>
              <w:marBottom w:val="0"/>
              <w:divBdr>
                <w:top w:val="none" w:sz="0" w:space="0" w:color="auto"/>
                <w:left w:val="none" w:sz="0" w:space="0" w:color="auto"/>
                <w:bottom w:val="none" w:sz="0" w:space="0" w:color="auto"/>
                <w:right w:val="none" w:sz="0" w:space="0" w:color="auto"/>
              </w:divBdr>
              <w:divsChild>
                <w:div w:id="1228878038">
                  <w:marLeft w:val="0"/>
                  <w:marRight w:val="0"/>
                  <w:marTop w:val="0"/>
                  <w:marBottom w:val="0"/>
                  <w:divBdr>
                    <w:top w:val="none" w:sz="0" w:space="0" w:color="auto"/>
                    <w:left w:val="none" w:sz="0" w:space="0" w:color="auto"/>
                    <w:bottom w:val="none" w:sz="0" w:space="0" w:color="auto"/>
                    <w:right w:val="none" w:sz="0" w:space="0" w:color="auto"/>
                  </w:divBdr>
                  <w:divsChild>
                    <w:div w:id="1723825806">
                      <w:marLeft w:val="0"/>
                      <w:marRight w:val="0"/>
                      <w:marTop w:val="0"/>
                      <w:marBottom w:val="0"/>
                      <w:divBdr>
                        <w:top w:val="none" w:sz="0" w:space="0" w:color="auto"/>
                        <w:left w:val="none" w:sz="0" w:space="0" w:color="auto"/>
                        <w:bottom w:val="none" w:sz="0" w:space="0" w:color="auto"/>
                        <w:right w:val="none" w:sz="0" w:space="0" w:color="auto"/>
                      </w:divBdr>
                      <w:divsChild>
                        <w:div w:id="1970938488">
                          <w:marLeft w:val="0"/>
                          <w:marRight w:val="0"/>
                          <w:marTop w:val="0"/>
                          <w:marBottom w:val="0"/>
                          <w:divBdr>
                            <w:top w:val="none" w:sz="0" w:space="0" w:color="auto"/>
                            <w:left w:val="none" w:sz="0" w:space="0" w:color="auto"/>
                            <w:bottom w:val="none" w:sz="0" w:space="0" w:color="auto"/>
                            <w:right w:val="none" w:sz="0" w:space="0" w:color="auto"/>
                          </w:divBdr>
                          <w:divsChild>
                            <w:div w:id="854346643">
                              <w:marLeft w:val="0"/>
                              <w:marRight w:val="0"/>
                              <w:marTop w:val="0"/>
                              <w:marBottom w:val="0"/>
                              <w:divBdr>
                                <w:top w:val="none" w:sz="0" w:space="0" w:color="auto"/>
                                <w:left w:val="none" w:sz="0" w:space="0" w:color="auto"/>
                                <w:bottom w:val="none" w:sz="0" w:space="0" w:color="auto"/>
                                <w:right w:val="none" w:sz="0" w:space="0" w:color="auto"/>
                              </w:divBdr>
                              <w:divsChild>
                                <w:div w:id="140008225">
                                  <w:marLeft w:val="0"/>
                                  <w:marRight w:val="0"/>
                                  <w:marTop w:val="0"/>
                                  <w:marBottom w:val="0"/>
                                  <w:divBdr>
                                    <w:top w:val="none" w:sz="0" w:space="0" w:color="auto"/>
                                    <w:left w:val="none" w:sz="0" w:space="0" w:color="auto"/>
                                    <w:bottom w:val="none" w:sz="0" w:space="0" w:color="auto"/>
                                    <w:right w:val="none" w:sz="0" w:space="0" w:color="auto"/>
                                  </w:divBdr>
                                  <w:divsChild>
                                    <w:div w:id="1139112812">
                                      <w:marLeft w:val="0"/>
                                      <w:marRight w:val="0"/>
                                      <w:marTop w:val="0"/>
                                      <w:marBottom w:val="0"/>
                                      <w:divBdr>
                                        <w:top w:val="none" w:sz="0" w:space="0" w:color="auto"/>
                                        <w:left w:val="none" w:sz="0" w:space="0" w:color="auto"/>
                                        <w:bottom w:val="none" w:sz="0" w:space="0" w:color="auto"/>
                                        <w:right w:val="none" w:sz="0" w:space="0" w:color="auto"/>
                                      </w:divBdr>
                                      <w:divsChild>
                                        <w:div w:id="1221474316">
                                          <w:marLeft w:val="0"/>
                                          <w:marRight w:val="0"/>
                                          <w:marTop w:val="0"/>
                                          <w:marBottom w:val="0"/>
                                          <w:divBdr>
                                            <w:top w:val="none" w:sz="0" w:space="0" w:color="auto"/>
                                            <w:left w:val="none" w:sz="0" w:space="0" w:color="auto"/>
                                            <w:bottom w:val="none" w:sz="0" w:space="0" w:color="auto"/>
                                            <w:right w:val="none" w:sz="0" w:space="0" w:color="auto"/>
                                          </w:divBdr>
                                          <w:divsChild>
                                            <w:div w:id="1037924173">
                                              <w:marLeft w:val="0"/>
                                              <w:marRight w:val="0"/>
                                              <w:marTop w:val="0"/>
                                              <w:marBottom w:val="0"/>
                                              <w:divBdr>
                                                <w:top w:val="none" w:sz="0" w:space="0" w:color="auto"/>
                                                <w:left w:val="none" w:sz="0" w:space="0" w:color="auto"/>
                                                <w:bottom w:val="none" w:sz="0" w:space="0" w:color="auto"/>
                                                <w:right w:val="none" w:sz="0" w:space="0" w:color="auto"/>
                                              </w:divBdr>
                                            </w:div>
                                            <w:div w:id="212889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700196">
      <w:bodyDiv w:val="1"/>
      <w:marLeft w:val="75"/>
      <w:marRight w:val="75"/>
      <w:marTop w:val="0"/>
      <w:marBottom w:val="0"/>
      <w:divBdr>
        <w:top w:val="none" w:sz="0" w:space="0" w:color="auto"/>
        <w:left w:val="none" w:sz="0" w:space="0" w:color="auto"/>
        <w:bottom w:val="none" w:sz="0" w:space="0" w:color="auto"/>
        <w:right w:val="none" w:sz="0" w:space="0" w:color="auto"/>
      </w:divBdr>
      <w:divsChild>
        <w:div w:id="1928952058">
          <w:marLeft w:val="0"/>
          <w:marRight w:val="0"/>
          <w:marTop w:val="0"/>
          <w:marBottom w:val="150"/>
          <w:divBdr>
            <w:top w:val="none" w:sz="0" w:space="0" w:color="auto"/>
            <w:left w:val="none" w:sz="0" w:space="0" w:color="auto"/>
            <w:bottom w:val="none" w:sz="0" w:space="0" w:color="auto"/>
            <w:right w:val="none" w:sz="0" w:space="0" w:color="auto"/>
          </w:divBdr>
          <w:divsChild>
            <w:div w:id="376125153">
              <w:marLeft w:val="0"/>
              <w:marRight w:val="0"/>
              <w:marTop w:val="0"/>
              <w:marBottom w:val="0"/>
              <w:divBdr>
                <w:top w:val="none" w:sz="0" w:space="0" w:color="auto"/>
                <w:left w:val="none" w:sz="0" w:space="0" w:color="auto"/>
                <w:bottom w:val="none" w:sz="0" w:space="0" w:color="auto"/>
                <w:right w:val="none" w:sz="0" w:space="0" w:color="auto"/>
              </w:divBdr>
              <w:divsChild>
                <w:div w:id="686560742">
                  <w:marLeft w:val="0"/>
                  <w:marRight w:val="0"/>
                  <w:marTop w:val="75"/>
                  <w:marBottom w:val="75"/>
                  <w:divBdr>
                    <w:top w:val="none" w:sz="0" w:space="0" w:color="auto"/>
                    <w:left w:val="none" w:sz="0" w:space="0" w:color="auto"/>
                    <w:bottom w:val="none" w:sz="0" w:space="0" w:color="auto"/>
                    <w:right w:val="none" w:sz="0" w:space="0" w:color="auto"/>
                  </w:divBdr>
                  <w:divsChild>
                    <w:div w:id="2128961183">
                      <w:marLeft w:val="-100"/>
                      <w:marRight w:val="0"/>
                      <w:marTop w:val="0"/>
                      <w:marBottom w:val="0"/>
                      <w:divBdr>
                        <w:top w:val="none" w:sz="0" w:space="0" w:color="auto"/>
                        <w:left w:val="none" w:sz="0" w:space="0" w:color="auto"/>
                        <w:bottom w:val="none" w:sz="0" w:space="0" w:color="auto"/>
                        <w:right w:val="none" w:sz="0" w:space="0" w:color="auto"/>
                      </w:divBdr>
                      <w:divsChild>
                        <w:div w:id="1114642013">
                          <w:marLeft w:val="0"/>
                          <w:marRight w:val="0"/>
                          <w:marTop w:val="0"/>
                          <w:marBottom w:val="0"/>
                          <w:divBdr>
                            <w:top w:val="none" w:sz="0" w:space="0" w:color="auto"/>
                            <w:left w:val="none" w:sz="0" w:space="0" w:color="auto"/>
                            <w:bottom w:val="none" w:sz="0" w:space="0" w:color="auto"/>
                            <w:right w:val="none" w:sz="0" w:space="0" w:color="auto"/>
                          </w:divBdr>
                          <w:divsChild>
                            <w:div w:id="18308256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372364">
      <w:bodyDiv w:val="1"/>
      <w:marLeft w:val="0"/>
      <w:marRight w:val="0"/>
      <w:marTop w:val="0"/>
      <w:marBottom w:val="0"/>
      <w:divBdr>
        <w:top w:val="none" w:sz="0" w:space="0" w:color="auto"/>
        <w:left w:val="none" w:sz="0" w:space="0" w:color="auto"/>
        <w:bottom w:val="none" w:sz="0" w:space="0" w:color="auto"/>
        <w:right w:val="none" w:sz="0" w:space="0" w:color="auto"/>
      </w:divBdr>
      <w:divsChild>
        <w:div w:id="1151867278">
          <w:marLeft w:val="0"/>
          <w:marRight w:val="0"/>
          <w:marTop w:val="0"/>
          <w:marBottom w:val="0"/>
          <w:divBdr>
            <w:top w:val="none" w:sz="0" w:space="0" w:color="auto"/>
            <w:left w:val="none" w:sz="0" w:space="0" w:color="auto"/>
            <w:bottom w:val="none" w:sz="0" w:space="0" w:color="auto"/>
            <w:right w:val="none" w:sz="0" w:space="0" w:color="auto"/>
          </w:divBdr>
          <w:divsChild>
            <w:div w:id="625547568">
              <w:marLeft w:val="0"/>
              <w:marRight w:val="0"/>
              <w:marTop w:val="0"/>
              <w:marBottom w:val="0"/>
              <w:divBdr>
                <w:top w:val="none" w:sz="0" w:space="0" w:color="auto"/>
                <w:left w:val="none" w:sz="0" w:space="0" w:color="auto"/>
                <w:bottom w:val="none" w:sz="0" w:space="0" w:color="auto"/>
                <w:right w:val="none" w:sz="0" w:space="0" w:color="auto"/>
              </w:divBdr>
              <w:divsChild>
                <w:div w:id="1632636313">
                  <w:marLeft w:val="0"/>
                  <w:marRight w:val="0"/>
                  <w:marTop w:val="0"/>
                  <w:marBottom w:val="0"/>
                  <w:divBdr>
                    <w:top w:val="none" w:sz="0" w:space="0" w:color="auto"/>
                    <w:left w:val="none" w:sz="0" w:space="0" w:color="auto"/>
                    <w:bottom w:val="none" w:sz="0" w:space="0" w:color="auto"/>
                    <w:right w:val="none" w:sz="0" w:space="0" w:color="auto"/>
                  </w:divBdr>
                  <w:divsChild>
                    <w:div w:id="644971898">
                      <w:marLeft w:val="0"/>
                      <w:marRight w:val="0"/>
                      <w:marTop w:val="0"/>
                      <w:marBottom w:val="0"/>
                      <w:divBdr>
                        <w:top w:val="none" w:sz="0" w:space="0" w:color="auto"/>
                        <w:left w:val="none" w:sz="0" w:space="0" w:color="auto"/>
                        <w:bottom w:val="none" w:sz="0" w:space="0" w:color="auto"/>
                        <w:right w:val="none" w:sz="0" w:space="0" w:color="auto"/>
                      </w:divBdr>
                      <w:divsChild>
                        <w:div w:id="1083642573">
                          <w:marLeft w:val="0"/>
                          <w:marRight w:val="0"/>
                          <w:marTop w:val="0"/>
                          <w:marBottom w:val="0"/>
                          <w:divBdr>
                            <w:top w:val="none" w:sz="0" w:space="0" w:color="auto"/>
                            <w:left w:val="none" w:sz="0" w:space="0" w:color="auto"/>
                            <w:bottom w:val="none" w:sz="0" w:space="0" w:color="auto"/>
                            <w:right w:val="none" w:sz="0" w:space="0" w:color="auto"/>
                          </w:divBdr>
                        </w:div>
                        <w:div w:id="121014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12</Pages>
  <Words>4562</Words>
  <Characters>26917</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Krajská nemocnice Liberec, a.s.</Company>
  <LinksUpToDate>false</LinksUpToDate>
  <CharactersWithSpaces>31417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Radoušová Radana</dc:creator>
  <cp:lastModifiedBy>Radoušová Radana</cp:lastModifiedBy>
  <cp:revision>2</cp:revision>
  <cp:lastPrinted>2015-01-12T08:49:00Z</cp:lastPrinted>
  <dcterms:created xsi:type="dcterms:W3CDTF">2015-01-12T07:03:00Z</dcterms:created>
  <dcterms:modified xsi:type="dcterms:W3CDTF">2015-01-12T09:42:00Z</dcterms:modified>
</cp:coreProperties>
</file>