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6F9" w:rsidRDefault="004A66F9" w:rsidP="004A66F9">
      <w:pPr>
        <w:shd w:val="clear" w:color="auto" w:fill="FFFFFF"/>
        <w:ind w:right="10"/>
        <w:jc w:val="center"/>
      </w:pPr>
      <w:r>
        <w:rPr>
          <w:b/>
          <w:bCs/>
          <w:color w:val="000000"/>
          <w:spacing w:val="-1"/>
          <w:sz w:val="26"/>
          <w:szCs w:val="26"/>
        </w:rPr>
        <w:t>PRÍLOHA C</w:t>
      </w:r>
    </w:p>
    <w:p w:rsidR="004A66F9" w:rsidRDefault="004A66F9" w:rsidP="004A66F9">
      <w:pPr>
        <w:shd w:val="clear" w:color="auto" w:fill="FFFFFF"/>
        <w:spacing w:before="259"/>
        <w:ind w:right="5"/>
        <w:jc w:val="center"/>
      </w:pPr>
      <w:r>
        <w:rPr>
          <w:b/>
          <w:bCs/>
          <w:color w:val="000000"/>
          <w:spacing w:val="-1"/>
        </w:rPr>
        <w:t xml:space="preserve">KATEGÓRIE SLUŽIEB UVEDENÉ V ODDIELE </w:t>
      </w:r>
      <w:r w:rsidRPr="00D90BB4">
        <w:rPr>
          <w:b/>
          <w:bCs/>
          <w:color w:val="000000"/>
          <w:spacing w:val="-1"/>
        </w:rPr>
        <w:t xml:space="preserve">II: </w:t>
      </w:r>
      <w:r>
        <w:rPr>
          <w:b/>
          <w:bCs/>
          <w:color w:val="000000"/>
          <w:spacing w:val="-1"/>
        </w:rPr>
        <w:t>PREDMET ZÁKAZKY</w:t>
      </w:r>
    </w:p>
    <w:p w:rsidR="004A66F9" w:rsidRDefault="004A66F9" w:rsidP="004A66F9">
      <w:pPr>
        <w:spacing w:after="12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9"/>
        <w:gridCol w:w="8496"/>
      </w:tblGrid>
      <w:tr w:rsidR="004A66F9" w:rsidTr="002065AE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6F9" w:rsidRDefault="004A66F9" w:rsidP="002065AE">
            <w:pPr>
              <w:shd w:val="clear" w:color="auto" w:fill="FFFFFF"/>
              <w:jc w:val="center"/>
            </w:pPr>
            <w:r>
              <w:rPr>
                <w:color w:val="000000"/>
                <w:spacing w:val="9"/>
                <w:sz w:val="16"/>
                <w:szCs w:val="16"/>
              </w:rPr>
              <w:t xml:space="preserve">Kategória č. </w:t>
            </w:r>
            <w:r>
              <w:rPr>
                <w:color w:val="000000"/>
                <w:spacing w:val="9"/>
                <w:sz w:val="16"/>
                <w:szCs w:val="16"/>
                <w:vertAlign w:val="superscript"/>
              </w:rPr>
              <w:t>J</w:t>
            </w:r>
          </w:p>
        </w:tc>
        <w:tc>
          <w:tcPr>
            <w:tcW w:w="8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6F9" w:rsidRDefault="004A66F9" w:rsidP="002065AE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Predmet</w:t>
            </w:r>
          </w:p>
        </w:tc>
      </w:tr>
      <w:tr w:rsidR="004A66F9" w:rsidTr="002065AE">
        <w:tblPrEx>
          <w:tblCellMar>
            <w:top w:w="0" w:type="dxa"/>
            <w:bottom w:w="0" w:type="dxa"/>
          </w:tblCellMar>
        </w:tblPrEx>
        <w:trPr>
          <w:trHeight w:hRule="exact" w:val="5549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6F9" w:rsidRDefault="004A66F9" w:rsidP="002065AE">
            <w:pPr>
              <w:shd w:val="clear" w:color="auto" w:fill="FFFFFF"/>
              <w:spacing w:line="322" w:lineRule="exact"/>
              <w:ind w:left="658" w:right="63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:rsidR="004A66F9" w:rsidRDefault="004A66F9" w:rsidP="002065AE">
            <w:pPr>
              <w:shd w:val="clear" w:color="auto" w:fill="FFFFFF"/>
              <w:spacing w:line="322" w:lineRule="exact"/>
              <w:ind w:left="658" w:right="638"/>
              <w:jc w:val="center"/>
            </w:pPr>
            <w:r>
              <w:rPr>
                <w:color w:val="000000"/>
                <w:sz w:val="18"/>
                <w:szCs w:val="18"/>
              </w:rPr>
              <w:t>2</w:t>
            </w:r>
          </w:p>
          <w:p w:rsidR="004A66F9" w:rsidRDefault="004A66F9" w:rsidP="002065AE">
            <w:pPr>
              <w:shd w:val="clear" w:color="auto" w:fill="FFFFFF"/>
              <w:spacing w:line="317" w:lineRule="exact"/>
              <w:ind w:left="658" w:right="63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  <w:p w:rsidR="004A66F9" w:rsidRDefault="004A66F9" w:rsidP="002065AE">
            <w:pPr>
              <w:shd w:val="clear" w:color="auto" w:fill="FFFFFF"/>
              <w:spacing w:line="317" w:lineRule="exact"/>
              <w:ind w:left="658" w:right="63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4 </w:t>
            </w:r>
          </w:p>
          <w:p w:rsidR="004A66F9" w:rsidRDefault="004A66F9" w:rsidP="002065AE">
            <w:pPr>
              <w:shd w:val="clear" w:color="auto" w:fill="FFFFFF"/>
              <w:spacing w:line="317" w:lineRule="exact"/>
              <w:ind w:left="658" w:right="63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  <w:p w:rsidR="004A66F9" w:rsidRDefault="004A66F9" w:rsidP="002065AE">
            <w:pPr>
              <w:shd w:val="clear" w:color="auto" w:fill="FFFFFF"/>
              <w:spacing w:line="317" w:lineRule="exact"/>
              <w:ind w:left="658" w:right="63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6</w:t>
            </w:r>
          </w:p>
          <w:p w:rsidR="004A66F9" w:rsidRDefault="004A66F9" w:rsidP="002065AE">
            <w:pPr>
              <w:shd w:val="clear" w:color="auto" w:fill="FFFFFF"/>
              <w:spacing w:line="317" w:lineRule="exact"/>
              <w:ind w:left="658" w:right="63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</w:t>
            </w:r>
          </w:p>
          <w:p w:rsidR="004A66F9" w:rsidRDefault="004A66F9" w:rsidP="002065AE">
            <w:pPr>
              <w:shd w:val="clear" w:color="auto" w:fill="FFFFFF"/>
              <w:spacing w:line="317" w:lineRule="exact"/>
              <w:ind w:left="658" w:right="63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  <w:p w:rsidR="004A66F9" w:rsidRPr="006C16E9" w:rsidRDefault="004A66F9" w:rsidP="002065AE">
            <w:pPr>
              <w:shd w:val="clear" w:color="auto" w:fill="FFFFFF"/>
              <w:spacing w:line="317" w:lineRule="exact"/>
              <w:ind w:left="658" w:right="638"/>
              <w:jc w:val="center"/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 xml:space="preserve"> 9 10 </w:t>
            </w:r>
            <w:r>
              <w:rPr>
                <w:color w:val="000000"/>
                <w:spacing w:val="-11"/>
                <w:sz w:val="18"/>
                <w:szCs w:val="18"/>
              </w:rPr>
              <w:t xml:space="preserve">11 </w:t>
            </w:r>
            <w:r w:rsidRPr="005E69B6">
              <w:rPr>
                <w:b/>
                <w:color w:val="000000"/>
                <w:spacing w:val="-1"/>
                <w:sz w:val="18"/>
                <w:szCs w:val="18"/>
                <w:highlight w:val="yellow"/>
              </w:rPr>
              <w:t>12</w:t>
            </w:r>
          </w:p>
          <w:p w:rsidR="004A66F9" w:rsidRDefault="004A66F9" w:rsidP="002065AE">
            <w:pPr>
              <w:shd w:val="clear" w:color="auto" w:fill="FFFFFF"/>
              <w:spacing w:line="317" w:lineRule="exact"/>
              <w:ind w:left="658" w:right="638"/>
              <w:jc w:val="center"/>
            </w:pPr>
            <w:r>
              <w:rPr>
                <w:color w:val="000000"/>
                <w:spacing w:val="-4"/>
                <w:sz w:val="18"/>
                <w:szCs w:val="18"/>
              </w:rPr>
              <w:t xml:space="preserve">13 </w:t>
            </w:r>
            <w:r>
              <w:rPr>
                <w:color w:val="000000"/>
                <w:sz w:val="18"/>
                <w:szCs w:val="18"/>
              </w:rPr>
              <w:t xml:space="preserve">14 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15 </w:t>
            </w:r>
            <w:r>
              <w:rPr>
                <w:color w:val="000000"/>
                <w:spacing w:val="-1"/>
                <w:sz w:val="18"/>
                <w:szCs w:val="18"/>
              </w:rPr>
              <w:t>16</w:t>
            </w:r>
          </w:p>
        </w:tc>
        <w:tc>
          <w:tcPr>
            <w:tcW w:w="8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6F9" w:rsidRDefault="004A66F9" w:rsidP="002065AE">
            <w:pPr>
              <w:shd w:val="clear" w:color="auto" w:fill="FFFFFF"/>
            </w:pPr>
            <w:r>
              <w:rPr>
                <w:color w:val="000000"/>
                <w:spacing w:val="5"/>
                <w:sz w:val="18"/>
                <w:szCs w:val="18"/>
              </w:rPr>
              <w:t>Údržbárske a opravárenské služby</w:t>
            </w:r>
          </w:p>
          <w:p w:rsidR="004A66F9" w:rsidRDefault="004A66F9" w:rsidP="002065AE">
            <w:pPr>
              <w:shd w:val="clear" w:color="auto" w:fill="FFFFFF"/>
              <w:spacing w:line="211" w:lineRule="exact"/>
            </w:pPr>
            <w:bookmarkStart w:id="0" w:name="_GoBack"/>
            <w:r>
              <w:rPr>
                <w:color w:val="000000"/>
                <w:spacing w:val="5"/>
                <w:sz w:val="18"/>
                <w:szCs w:val="18"/>
              </w:rPr>
              <w:t>Služ</w:t>
            </w:r>
            <w:bookmarkEnd w:id="0"/>
            <w:r>
              <w:rPr>
                <w:color w:val="000000"/>
                <w:spacing w:val="5"/>
                <w:sz w:val="18"/>
                <w:szCs w:val="18"/>
              </w:rPr>
              <w:t>by pozemnej dopravy</w:t>
            </w:r>
            <w:r>
              <w:rPr>
                <w:color w:val="000000"/>
                <w:spacing w:val="5"/>
                <w:sz w:val="18"/>
                <w:szCs w:val="18"/>
                <w:vertAlign w:val="superscript"/>
              </w:rPr>
              <w:t>2</w:t>
            </w:r>
            <w:r>
              <w:rPr>
                <w:color w:val="000000"/>
                <w:spacing w:val="5"/>
                <w:sz w:val="18"/>
                <w:szCs w:val="18"/>
              </w:rPr>
              <w:t xml:space="preserve">, vrátane služieb obrnených vozidiel a kuriérnych služieb s výnimkou prepravy </w:t>
            </w:r>
            <w:r>
              <w:rPr>
                <w:color w:val="000000"/>
                <w:spacing w:val="3"/>
                <w:sz w:val="18"/>
                <w:szCs w:val="18"/>
              </w:rPr>
              <w:t>poštových zásielok</w:t>
            </w:r>
          </w:p>
          <w:p w:rsidR="004A66F9" w:rsidRDefault="004A66F9" w:rsidP="002065AE">
            <w:pPr>
              <w:shd w:val="clear" w:color="auto" w:fill="FFFFFF"/>
              <w:spacing w:line="317" w:lineRule="exact"/>
              <w:rPr>
                <w:color w:val="000000"/>
                <w:spacing w:val="6"/>
                <w:sz w:val="18"/>
                <w:szCs w:val="18"/>
              </w:rPr>
            </w:pPr>
            <w:r>
              <w:rPr>
                <w:color w:val="000000"/>
                <w:spacing w:val="6"/>
                <w:sz w:val="18"/>
                <w:szCs w:val="18"/>
              </w:rPr>
              <w:t xml:space="preserve">Letecká osobná a nákladná doprava s výnimkou prepravy poštových zásielok </w:t>
            </w:r>
          </w:p>
          <w:p w:rsidR="004A66F9" w:rsidRDefault="004A66F9" w:rsidP="002065AE">
            <w:pPr>
              <w:shd w:val="clear" w:color="auto" w:fill="FFFFFF"/>
              <w:spacing w:line="317" w:lineRule="exact"/>
              <w:rPr>
                <w:color w:val="000000"/>
                <w:spacing w:val="6"/>
                <w:sz w:val="18"/>
                <w:szCs w:val="18"/>
              </w:rPr>
            </w:pPr>
            <w:r>
              <w:rPr>
                <w:color w:val="000000"/>
                <w:spacing w:val="6"/>
                <w:sz w:val="18"/>
                <w:szCs w:val="18"/>
              </w:rPr>
              <w:t>Preprava poštových zásielok pozemnou</w:t>
            </w:r>
            <w:r>
              <w:rPr>
                <w:color w:val="000000"/>
                <w:spacing w:val="6"/>
                <w:sz w:val="18"/>
                <w:szCs w:val="18"/>
                <w:vertAlign w:val="superscript"/>
              </w:rPr>
              <w:t>3</w:t>
            </w:r>
            <w:r>
              <w:rPr>
                <w:color w:val="000000"/>
                <w:spacing w:val="6"/>
                <w:sz w:val="18"/>
                <w:szCs w:val="18"/>
              </w:rPr>
              <w:t xml:space="preserve"> a leteckou dopravou</w:t>
            </w:r>
          </w:p>
          <w:p w:rsidR="004A66F9" w:rsidRDefault="004A66F9" w:rsidP="002065AE">
            <w:pPr>
              <w:shd w:val="clear" w:color="auto" w:fill="FFFFFF"/>
              <w:spacing w:line="317" w:lineRule="exact"/>
              <w:rPr>
                <w:color w:val="000000"/>
                <w:spacing w:val="3"/>
                <w:sz w:val="18"/>
                <w:szCs w:val="18"/>
              </w:rPr>
            </w:pPr>
            <w:r>
              <w:rPr>
                <w:color w:val="000000"/>
                <w:spacing w:val="3"/>
                <w:sz w:val="18"/>
                <w:szCs w:val="18"/>
              </w:rPr>
              <w:t>Telekomunikačné služby</w:t>
            </w:r>
          </w:p>
          <w:p w:rsidR="004A66F9" w:rsidRDefault="004A66F9" w:rsidP="002065AE">
            <w:pPr>
              <w:shd w:val="clear" w:color="auto" w:fill="FFFFFF"/>
              <w:spacing w:line="317" w:lineRule="exact"/>
              <w:rPr>
                <w:color w:val="000000"/>
                <w:spacing w:val="3"/>
                <w:sz w:val="18"/>
                <w:szCs w:val="18"/>
              </w:rPr>
            </w:pPr>
            <w:r>
              <w:rPr>
                <w:color w:val="000000"/>
                <w:spacing w:val="3"/>
                <w:sz w:val="18"/>
                <w:szCs w:val="18"/>
              </w:rPr>
              <w:t xml:space="preserve">Finančné služby: a) poisťovanie;                            b) bankové a investičné služby </w:t>
            </w:r>
          </w:p>
          <w:p w:rsidR="004A66F9" w:rsidRDefault="004A66F9" w:rsidP="002065AE">
            <w:pPr>
              <w:shd w:val="clear" w:color="auto" w:fill="FFFFFF"/>
              <w:spacing w:line="317" w:lineRule="exact"/>
              <w:rPr>
                <w:color w:val="000000"/>
                <w:spacing w:val="5"/>
                <w:sz w:val="18"/>
                <w:szCs w:val="18"/>
              </w:rPr>
            </w:pPr>
            <w:r>
              <w:rPr>
                <w:color w:val="000000"/>
                <w:spacing w:val="3"/>
                <w:sz w:val="18"/>
                <w:szCs w:val="18"/>
                <w:vertAlign w:val="superscript"/>
              </w:rPr>
              <w:t xml:space="preserve"> </w:t>
            </w:r>
            <w:r>
              <w:rPr>
                <w:color w:val="000000"/>
                <w:spacing w:val="5"/>
                <w:sz w:val="18"/>
                <w:szCs w:val="18"/>
              </w:rPr>
              <w:t>Služby výpočtovej techniky a s nimi súvisiace služby</w:t>
            </w:r>
          </w:p>
          <w:p w:rsidR="004A66F9" w:rsidRDefault="004A66F9" w:rsidP="002065AE">
            <w:pPr>
              <w:shd w:val="clear" w:color="auto" w:fill="FFFFFF"/>
              <w:spacing w:line="317" w:lineRule="exact"/>
              <w:rPr>
                <w:color w:val="000000"/>
                <w:spacing w:val="4"/>
                <w:sz w:val="18"/>
                <w:szCs w:val="18"/>
                <w:vertAlign w:val="superscript"/>
              </w:rPr>
            </w:pPr>
            <w:r>
              <w:rPr>
                <w:color w:val="000000"/>
                <w:spacing w:val="4"/>
                <w:sz w:val="18"/>
                <w:szCs w:val="18"/>
              </w:rPr>
              <w:t xml:space="preserve">Výskum a vývoj </w:t>
            </w:r>
            <w:r>
              <w:rPr>
                <w:color w:val="000000"/>
                <w:spacing w:val="4"/>
                <w:sz w:val="18"/>
                <w:szCs w:val="18"/>
                <w:vertAlign w:val="superscript"/>
              </w:rPr>
              <w:t xml:space="preserve">5 </w:t>
            </w:r>
          </w:p>
          <w:p w:rsidR="004A66F9" w:rsidRDefault="004A66F9" w:rsidP="002065AE">
            <w:pPr>
              <w:shd w:val="clear" w:color="auto" w:fill="FFFFFF"/>
              <w:spacing w:line="317" w:lineRule="exact"/>
              <w:rPr>
                <w:color w:val="000000"/>
                <w:spacing w:val="5"/>
                <w:sz w:val="18"/>
                <w:szCs w:val="18"/>
              </w:rPr>
            </w:pPr>
            <w:r>
              <w:rPr>
                <w:color w:val="000000"/>
                <w:spacing w:val="5"/>
                <w:sz w:val="18"/>
                <w:szCs w:val="18"/>
              </w:rPr>
              <w:t xml:space="preserve">Účtovníctvo, audit a vedenie účtovných kníh </w:t>
            </w:r>
          </w:p>
          <w:p w:rsidR="004A66F9" w:rsidRDefault="004A66F9" w:rsidP="002065AE">
            <w:pPr>
              <w:shd w:val="clear" w:color="auto" w:fill="FFFFFF"/>
              <w:spacing w:line="317" w:lineRule="exact"/>
              <w:rPr>
                <w:color w:val="000000"/>
                <w:spacing w:val="5"/>
                <w:sz w:val="18"/>
                <w:szCs w:val="18"/>
              </w:rPr>
            </w:pPr>
            <w:r>
              <w:rPr>
                <w:color w:val="000000"/>
                <w:spacing w:val="5"/>
                <w:sz w:val="18"/>
                <w:szCs w:val="18"/>
              </w:rPr>
              <w:t>Služby prieskumu trhu a verejnej mienky</w:t>
            </w:r>
          </w:p>
          <w:p w:rsidR="004A66F9" w:rsidRDefault="004A66F9" w:rsidP="002065AE">
            <w:pPr>
              <w:shd w:val="clear" w:color="auto" w:fill="FFFFFF"/>
              <w:spacing w:line="317" w:lineRule="exact"/>
            </w:pPr>
            <w:r>
              <w:rPr>
                <w:color w:val="000000"/>
                <w:spacing w:val="5"/>
                <w:sz w:val="18"/>
                <w:szCs w:val="18"/>
              </w:rPr>
              <w:t xml:space="preserve">Poradenské služby v oblasti riadenia </w:t>
            </w:r>
            <w:smartTag w:uri="urn:schemas-microsoft-com:office:smarttags" w:element="metricconverter">
              <w:smartTagPr>
                <w:attr w:name="ProductID" w:val="6 a"/>
              </w:smartTagPr>
              <w:r>
                <w:rPr>
                  <w:color w:val="000000"/>
                  <w:spacing w:val="5"/>
                  <w:sz w:val="18"/>
                  <w:szCs w:val="18"/>
                  <w:vertAlign w:val="superscript"/>
                </w:rPr>
                <w:t>6</w:t>
              </w:r>
              <w:r>
                <w:rPr>
                  <w:color w:val="000000"/>
                  <w:spacing w:val="5"/>
                  <w:sz w:val="18"/>
                  <w:szCs w:val="18"/>
                </w:rPr>
                <w:t xml:space="preserve"> a</w:t>
              </w:r>
            </w:smartTag>
            <w:r>
              <w:rPr>
                <w:color w:val="000000"/>
                <w:spacing w:val="5"/>
                <w:sz w:val="18"/>
                <w:szCs w:val="18"/>
              </w:rPr>
              <w:t xml:space="preserve"> súvisiace služby</w:t>
            </w:r>
          </w:p>
          <w:p w:rsidR="004A66F9" w:rsidRDefault="004A66F9" w:rsidP="004A66F9">
            <w:pPr>
              <w:shd w:val="clear" w:color="auto" w:fill="FFFFFF"/>
              <w:spacing w:before="120" w:line="211" w:lineRule="exact"/>
              <w:ind w:hanging="6"/>
            </w:pPr>
            <w:r>
              <w:rPr>
                <w:color w:val="000000"/>
                <w:spacing w:val="2"/>
                <w:sz w:val="18"/>
                <w:szCs w:val="18"/>
              </w:rPr>
              <w:t xml:space="preserve">Architektonické služby; inžinierske služby a komplexné inžinierske služby; urbanistické plánovanie a krajinná </w:t>
            </w:r>
            <w:r>
              <w:rPr>
                <w:color w:val="000000"/>
                <w:spacing w:val="5"/>
                <w:sz w:val="18"/>
                <w:szCs w:val="18"/>
              </w:rPr>
              <w:t>architektúra; súvisiace odborné a technické poradenské služby; služby technických skúšok a analýz</w:t>
            </w:r>
          </w:p>
          <w:p w:rsidR="004A66F9" w:rsidRDefault="004A66F9" w:rsidP="002065AE">
            <w:pPr>
              <w:shd w:val="clear" w:color="auto" w:fill="FFFFFF"/>
              <w:spacing w:line="322" w:lineRule="exact"/>
              <w:rPr>
                <w:color w:val="000000"/>
                <w:spacing w:val="3"/>
                <w:sz w:val="18"/>
                <w:szCs w:val="18"/>
              </w:rPr>
            </w:pPr>
            <w:r>
              <w:rPr>
                <w:color w:val="000000"/>
                <w:spacing w:val="3"/>
                <w:sz w:val="18"/>
                <w:szCs w:val="18"/>
              </w:rPr>
              <w:t>Reklamné služby</w:t>
            </w:r>
          </w:p>
          <w:p w:rsidR="004A66F9" w:rsidRDefault="004A66F9" w:rsidP="002065AE">
            <w:pPr>
              <w:shd w:val="clear" w:color="auto" w:fill="FFFFFF"/>
              <w:spacing w:line="322" w:lineRule="exact"/>
              <w:rPr>
                <w:color w:val="000000"/>
                <w:spacing w:val="5"/>
                <w:sz w:val="18"/>
                <w:szCs w:val="18"/>
              </w:rPr>
            </w:pPr>
            <w:r>
              <w:rPr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5"/>
                <w:sz w:val="18"/>
                <w:szCs w:val="18"/>
              </w:rPr>
              <w:t xml:space="preserve">Upratovanie budov a správa nehnuteľností </w:t>
            </w:r>
          </w:p>
          <w:p w:rsidR="004A66F9" w:rsidRDefault="004A66F9" w:rsidP="002065AE">
            <w:pPr>
              <w:shd w:val="clear" w:color="auto" w:fill="FFFFFF"/>
              <w:spacing w:line="322" w:lineRule="exact"/>
              <w:rPr>
                <w:color w:val="000000"/>
                <w:spacing w:val="4"/>
                <w:sz w:val="18"/>
                <w:szCs w:val="18"/>
              </w:rPr>
            </w:pPr>
            <w:r>
              <w:rPr>
                <w:color w:val="000000"/>
                <w:spacing w:val="4"/>
                <w:sz w:val="18"/>
                <w:szCs w:val="18"/>
              </w:rPr>
              <w:t xml:space="preserve">Vydavateľské a tlačiarenské služby za poplatok alebo na zmluvnom základe </w:t>
            </w:r>
          </w:p>
          <w:p w:rsidR="004A66F9" w:rsidRDefault="004A66F9" w:rsidP="002065AE">
            <w:pPr>
              <w:shd w:val="clear" w:color="auto" w:fill="FFFFFF"/>
              <w:spacing w:line="322" w:lineRule="exact"/>
            </w:pPr>
            <w:r>
              <w:rPr>
                <w:color w:val="000000"/>
                <w:spacing w:val="5"/>
                <w:sz w:val="18"/>
                <w:szCs w:val="18"/>
              </w:rPr>
              <w:t>Likvidácia odpadovej vody a odpadu; asanačné a podobné služby</w:t>
            </w:r>
          </w:p>
        </w:tc>
      </w:tr>
      <w:tr w:rsidR="004A66F9" w:rsidTr="002065AE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6F9" w:rsidRDefault="004A66F9" w:rsidP="002065AE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Kategória č. </w:t>
            </w:r>
            <w:r>
              <w:rPr>
                <w:color w:val="000000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8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6F9" w:rsidRDefault="004A66F9" w:rsidP="002065AE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Predmet</w:t>
            </w:r>
          </w:p>
        </w:tc>
      </w:tr>
      <w:tr w:rsidR="004A66F9" w:rsidTr="002065AE">
        <w:tblPrEx>
          <w:tblCellMar>
            <w:top w:w="0" w:type="dxa"/>
            <w:bottom w:w="0" w:type="dxa"/>
          </w:tblCellMar>
        </w:tblPrEx>
        <w:trPr>
          <w:trHeight w:hRule="exact" w:val="3552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6F9" w:rsidRDefault="004A66F9" w:rsidP="002065AE">
            <w:pPr>
              <w:shd w:val="clear" w:color="auto" w:fill="FFFFFF"/>
              <w:spacing w:line="317" w:lineRule="exact"/>
              <w:ind w:left="653" w:right="638"/>
              <w:jc w:val="center"/>
            </w:pPr>
            <w:r>
              <w:rPr>
                <w:color w:val="000000"/>
                <w:spacing w:val="-1"/>
                <w:sz w:val="18"/>
                <w:szCs w:val="18"/>
              </w:rPr>
              <w:t xml:space="preserve">17 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18 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19 </w:t>
            </w:r>
            <w:r>
              <w:rPr>
                <w:color w:val="000000"/>
                <w:spacing w:val="3"/>
                <w:sz w:val="18"/>
                <w:szCs w:val="18"/>
              </w:rPr>
              <w:t xml:space="preserve">20 </w:t>
            </w:r>
            <w:r>
              <w:rPr>
                <w:color w:val="000000"/>
                <w:spacing w:val="-6"/>
                <w:sz w:val="18"/>
                <w:szCs w:val="18"/>
              </w:rPr>
              <w:t xml:space="preserve">21 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22 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23 </w:t>
            </w:r>
            <w:r>
              <w:rPr>
                <w:color w:val="000000"/>
                <w:spacing w:val="3"/>
                <w:sz w:val="18"/>
                <w:szCs w:val="18"/>
              </w:rPr>
              <w:t xml:space="preserve">24 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25 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26 </w:t>
            </w:r>
            <w:r>
              <w:rPr>
                <w:color w:val="000000"/>
                <w:spacing w:val="3"/>
                <w:sz w:val="18"/>
                <w:szCs w:val="18"/>
              </w:rPr>
              <w:t>27</w:t>
            </w:r>
          </w:p>
        </w:tc>
        <w:tc>
          <w:tcPr>
            <w:tcW w:w="8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6F9" w:rsidRDefault="004A66F9" w:rsidP="002065AE">
            <w:pPr>
              <w:shd w:val="clear" w:color="auto" w:fill="FFFFFF"/>
              <w:spacing w:line="317" w:lineRule="exact"/>
              <w:ind w:right="2827"/>
              <w:rPr>
                <w:color w:val="000000"/>
                <w:spacing w:val="4"/>
                <w:sz w:val="18"/>
                <w:szCs w:val="18"/>
              </w:rPr>
            </w:pPr>
            <w:r>
              <w:rPr>
                <w:color w:val="000000"/>
                <w:spacing w:val="4"/>
                <w:sz w:val="18"/>
                <w:szCs w:val="18"/>
              </w:rPr>
              <w:t xml:space="preserve">Hotelové a reštauračné služby </w:t>
            </w:r>
          </w:p>
          <w:p w:rsidR="004A66F9" w:rsidRDefault="004A66F9" w:rsidP="002065AE">
            <w:pPr>
              <w:shd w:val="clear" w:color="auto" w:fill="FFFFFF"/>
              <w:spacing w:line="317" w:lineRule="exact"/>
              <w:ind w:right="2827"/>
              <w:rPr>
                <w:color w:val="000000"/>
                <w:spacing w:val="3"/>
                <w:sz w:val="18"/>
                <w:szCs w:val="18"/>
              </w:rPr>
            </w:pPr>
            <w:r>
              <w:rPr>
                <w:color w:val="000000"/>
                <w:spacing w:val="3"/>
                <w:sz w:val="18"/>
                <w:szCs w:val="18"/>
              </w:rPr>
              <w:t xml:space="preserve">Služby železničnej dopravy </w:t>
            </w:r>
          </w:p>
          <w:p w:rsidR="004A66F9" w:rsidRDefault="004A66F9" w:rsidP="002065AE">
            <w:pPr>
              <w:shd w:val="clear" w:color="auto" w:fill="FFFFFF"/>
              <w:spacing w:line="317" w:lineRule="exact"/>
              <w:ind w:right="2827"/>
              <w:rPr>
                <w:color w:val="000000"/>
                <w:spacing w:val="5"/>
                <w:sz w:val="18"/>
                <w:szCs w:val="18"/>
              </w:rPr>
            </w:pPr>
            <w:r>
              <w:rPr>
                <w:color w:val="000000"/>
                <w:spacing w:val="5"/>
                <w:sz w:val="18"/>
                <w:szCs w:val="18"/>
              </w:rPr>
              <w:t>Vodná doprava</w:t>
            </w:r>
          </w:p>
          <w:p w:rsidR="004A66F9" w:rsidRDefault="004A66F9" w:rsidP="002065AE">
            <w:pPr>
              <w:shd w:val="clear" w:color="auto" w:fill="FFFFFF"/>
              <w:spacing w:line="317" w:lineRule="exact"/>
              <w:ind w:right="2827"/>
              <w:rPr>
                <w:color w:val="000000"/>
                <w:spacing w:val="7"/>
                <w:sz w:val="18"/>
                <w:szCs w:val="18"/>
              </w:rPr>
            </w:pPr>
            <w:r>
              <w:rPr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7"/>
                <w:sz w:val="18"/>
                <w:szCs w:val="18"/>
              </w:rPr>
              <w:t xml:space="preserve">Podporné a pomocné dopravné služby </w:t>
            </w:r>
          </w:p>
          <w:p w:rsidR="004A66F9" w:rsidRDefault="004A66F9" w:rsidP="002065AE">
            <w:pPr>
              <w:shd w:val="clear" w:color="auto" w:fill="FFFFFF"/>
              <w:spacing w:line="317" w:lineRule="exact"/>
              <w:ind w:right="2827"/>
              <w:rPr>
                <w:color w:val="000000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Právne služby</w:t>
            </w:r>
          </w:p>
          <w:p w:rsidR="004A66F9" w:rsidRDefault="004A66F9" w:rsidP="002065AE">
            <w:pPr>
              <w:shd w:val="clear" w:color="auto" w:fill="FFFFFF"/>
              <w:spacing w:line="317" w:lineRule="exact"/>
              <w:ind w:right="2827"/>
              <w:rPr>
                <w:color w:val="000000"/>
                <w:spacing w:val="5"/>
                <w:sz w:val="18"/>
                <w:szCs w:val="18"/>
                <w:vertAlign w:val="superscript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5"/>
                <w:sz w:val="18"/>
                <w:szCs w:val="18"/>
              </w:rPr>
              <w:t xml:space="preserve">Služby na umiestňovanie a zabezpečovanie pracovných síl </w:t>
            </w:r>
            <w:r>
              <w:rPr>
                <w:color w:val="000000"/>
                <w:spacing w:val="5"/>
                <w:sz w:val="18"/>
                <w:szCs w:val="18"/>
                <w:vertAlign w:val="superscript"/>
              </w:rPr>
              <w:t xml:space="preserve">8 </w:t>
            </w:r>
          </w:p>
          <w:p w:rsidR="004A66F9" w:rsidRDefault="004A66F9" w:rsidP="002065AE">
            <w:pPr>
              <w:shd w:val="clear" w:color="auto" w:fill="FFFFFF"/>
              <w:spacing w:line="317" w:lineRule="exact"/>
              <w:ind w:right="2827"/>
              <w:rPr>
                <w:color w:val="000000"/>
                <w:spacing w:val="4"/>
                <w:sz w:val="18"/>
                <w:szCs w:val="18"/>
              </w:rPr>
            </w:pPr>
            <w:r>
              <w:rPr>
                <w:color w:val="000000"/>
                <w:spacing w:val="4"/>
                <w:sz w:val="18"/>
                <w:szCs w:val="18"/>
              </w:rPr>
              <w:t>Pátracie a bezpečnostné služby s výnimkou služieb obrnených vozidiel Vzdelávacie služby a služby odbornej prípravy</w:t>
            </w:r>
          </w:p>
          <w:p w:rsidR="004A66F9" w:rsidRDefault="004A66F9" w:rsidP="002065AE">
            <w:pPr>
              <w:shd w:val="clear" w:color="auto" w:fill="FFFFFF"/>
              <w:spacing w:line="317" w:lineRule="exact"/>
              <w:ind w:right="2827"/>
              <w:rPr>
                <w:color w:val="000000"/>
                <w:spacing w:val="4"/>
                <w:sz w:val="18"/>
                <w:szCs w:val="18"/>
              </w:rPr>
            </w:pPr>
            <w:r>
              <w:rPr>
                <w:color w:val="000000"/>
                <w:spacing w:val="4"/>
                <w:sz w:val="18"/>
                <w:szCs w:val="18"/>
              </w:rPr>
              <w:t xml:space="preserve"> Zdravotnícke a sociálne služby</w:t>
            </w:r>
          </w:p>
          <w:p w:rsidR="004A66F9" w:rsidRDefault="004A66F9" w:rsidP="002065AE">
            <w:pPr>
              <w:shd w:val="clear" w:color="auto" w:fill="FFFFFF"/>
              <w:spacing w:line="317" w:lineRule="exact"/>
              <w:ind w:right="2827"/>
              <w:rPr>
                <w:color w:val="000000"/>
                <w:spacing w:val="5"/>
                <w:sz w:val="18"/>
                <w:szCs w:val="18"/>
                <w:vertAlign w:val="superscript"/>
              </w:rPr>
            </w:pPr>
            <w:r>
              <w:rPr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5"/>
                <w:sz w:val="18"/>
                <w:szCs w:val="18"/>
              </w:rPr>
              <w:t xml:space="preserve">Rekreačné, kultúrne a športové služby </w:t>
            </w:r>
            <w:r>
              <w:rPr>
                <w:color w:val="000000"/>
                <w:spacing w:val="5"/>
                <w:sz w:val="18"/>
                <w:szCs w:val="18"/>
                <w:vertAlign w:val="superscript"/>
              </w:rPr>
              <w:t>9</w:t>
            </w:r>
          </w:p>
          <w:p w:rsidR="004A66F9" w:rsidRDefault="004A66F9" w:rsidP="002065AE">
            <w:pPr>
              <w:shd w:val="clear" w:color="auto" w:fill="FFFFFF"/>
              <w:spacing w:line="317" w:lineRule="exact"/>
              <w:ind w:right="2827"/>
            </w:pPr>
            <w:r>
              <w:rPr>
                <w:color w:val="000000"/>
                <w:spacing w:val="5"/>
                <w:sz w:val="18"/>
                <w:szCs w:val="18"/>
                <w:vertAlign w:val="superscript"/>
              </w:rPr>
              <w:t xml:space="preserve"> </w:t>
            </w:r>
            <w:r>
              <w:rPr>
                <w:color w:val="000000"/>
                <w:spacing w:val="4"/>
                <w:sz w:val="18"/>
                <w:szCs w:val="18"/>
              </w:rPr>
              <w:t>Iné služby</w:t>
            </w:r>
          </w:p>
        </w:tc>
      </w:tr>
    </w:tbl>
    <w:p w:rsidR="004A66F9" w:rsidRDefault="004A66F9" w:rsidP="004A66F9">
      <w:pPr>
        <w:shd w:val="clear" w:color="auto" w:fill="FFFFFF"/>
        <w:tabs>
          <w:tab w:val="left" w:pos="149"/>
        </w:tabs>
        <w:spacing w:before="206" w:line="192" w:lineRule="exact"/>
        <w:ind w:left="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628015" cy="0"/>
                <wp:effectExtent l="5080" t="12065" r="5080" b="6985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0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pt" to="49.4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" o:allowincell="f" strokeweight=".7pt"/>
            </w:pict>
          </mc:Fallback>
        </mc:AlternateContent>
      </w:r>
      <w:r>
        <w:rPr>
          <w:color w:val="000000"/>
          <w:sz w:val="16"/>
          <w:szCs w:val="16"/>
          <w:vertAlign w:val="superscript"/>
        </w:rPr>
        <w:t>1</w:t>
      </w:r>
      <w:r>
        <w:rPr>
          <w:color w:val="000000"/>
          <w:sz w:val="16"/>
          <w:szCs w:val="16"/>
          <w:vertAlign w:val="superscript"/>
        </w:rPr>
        <w:tab/>
      </w:r>
      <w:r>
        <w:rPr>
          <w:color w:val="000000"/>
          <w:spacing w:val="5"/>
          <w:sz w:val="16"/>
          <w:szCs w:val="16"/>
        </w:rPr>
        <w:t>Kategórie služieb v zmysle článku 31 prílohy XVIIA k smernici 2004/17/ES a/alebo článku 20 prílohy IIA smernice 2004/18/ES.</w:t>
      </w:r>
    </w:p>
    <w:p w:rsidR="004A66F9" w:rsidRDefault="004A66F9" w:rsidP="004A66F9">
      <w:pPr>
        <w:shd w:val="clear" w:color="auto" w:fill="FFFFFF"/>
        <w:tabs>
          <w:tab w:val="left" w:pos="149"/>
        </w:tabs>
        <w:spacing w:before="5" w:line="192" w:lineRule="exact"/>
        <w:ind w:left="24"/>
      </w:pPr>
      <w:r>
        <w:rPr>
          <w:color w:val="000000"/>
          <w:sz w:val="16"/>
          <w:szCs w:val="16"/>
          <w:vertAlign w:val="superscript"/>
        </w:rPr>
        <w:t>2</w:t>
      </w:r>
      <w:r>
        <w:rPr>
          <w:color w:val="000000"/>
          <w:sz w:val="16"/>
          <w:szCs w:val="16"/>
          <w:vertAlign w:val="superscript"/>
        </w:rPr>
        <w:tab/>
      </w:r>
      <w:r>
        <w:rPr>
          <w:color w:val="000000"/>
          <w:spacing w:val="5"/>
          <w:sz w:val="16"/>
          <w:szCs w:val="16"/>
        </w:rPr>
        <w:t>S výnimkou služieb železničnej dopravy, ktoré spadajú do kategórie 18.</w:t>
      </w:r>
    </w:p>
    <w:p w:rsidR="004A66F9" w:rsidRDefault="004A66F9" w:rsidP="004A66F9">
      <w:pPr>
        <w:shd w:val="clear" w:color="auto" w:fill="FFFFFF"/>
        <w:tabs>
          <w:tab w:val="left" w:pos="149"/>
        </w:tabs>
        <w:spacing w:line="192" w:lineRule="exact"/>
        <w:ind w:left="24"/>
      </w:pPr>
      <w:r>
        <w:rPr>
          <w:color w:val="000000"/>
          <w:sz w:val="16"/>
          <w:szCs w:val="16"/>
          <w:vertAlign w:val="superscript"/>
        </w:rPr>
        <w:t>3</w:t>
      </w:r>
      <w:r>
        <w:rPr>
          <w:color w:val="000000"/>
          <w:sz w:val="16"/>
          <w:szCs w:val="16"/>
          <w:vertAlign w:val="superscript"/>
        </w:rPr>
        <w:tab/>
      </w:r>
      <w:r>
        <w:rPr>
          <w:color w:val="000000"/>
          <w:spacing w:val="5"/>
          <w:sz w:val="16"/>
          <w:szCs w:val="16"/>
        </w:rPr>
        <w:t>S výnimkou služieb železničnej dopravy, ktoré spadajú do kategórie 18.</w:t>
      </w:r>
    </w:p>
    <w:p w:rsidR="004A66F9" w:rsidRDefault="004A66F9" w:rsidP="004A66F9">
      <w:pPr>
        <w:shd w:val="clear" w:color="auto" w:fill="FFFFFF"/>
        <w:tabs>
          <w:tab w:val="left" w:pos="149"/>
        </w:tabs>
        <w:spacing w:line="192" w:lineRule="exact"/>
        <w:ind w:left="149" w:hanging="125"/>
      </w:pPr>
      <w:r>
        <w:rPr>
          <w:color w:val="000000"/>
          <w:sz w:val="16"/>
          <w:szCs w:val="16"/>
          <w:vertAlign w:val="superscript"/>
        </w:rPr>
        <w:t>4</w:t>
      </w:r>
      <w:r>
        <w:rPr>
          <w:color w:val="000000"/>
          <w:sz w:val="16"/>
          <w:szCs w:val="16"/>
          <w:vertAlign w:val="superscript"/>
        </w:rPr>
        <w:tab/>
      </w:r>
      <w:r>
        <w:rPr>
          <w:color w:val="000000"/>
          <w:spacing w:val="5"/>
          <w:sz w:val="16"/>
          <w:szCs w:val="16"/>
        </w:rPr>
        <w:t>Okrem finančných služieb v súvislostí s vydávaním, predajom, nákupom alebo prevodom cenných papierov alebo iných finančných nástrojov a</w:t>
      </w:r>
      <w:r>
        <w:rPr>
          <w:color w:val="000000"/>
          <w:spacing w:val="5"/>
          <w:sz w:val="16"/>
          <w:szCs w:val="16"/>
        </w:rPr>
        <w:br/>
      </w:r>
      <w:r>
        <w:rPr>
          <w:color w:val="000000"/>
          <w:spacing w:val="3"/>
          <w:sz w:val="16"/>
          <w:szCs w:val="16"/>
        </w:rPr>
        <w:t>služieb centrálnej banky.</w:t>
      </w:r>
    </w:p>
    <w:p w:rsidR="004A66F9" w:rsidRDefault="004A66F9" w:rsidP="004A66F9">
      <w:pPr>
        <w:shd w:val="clear" w:color="auto" w:fill="FFFFFF"/>
        <w:spacing w:line="192" w:lineRule="exact"/>
        <w:ind w:left="168" w:right="29"/>
        <w:jc w:val="both"/>
      </w:pPr>
      <w:r>
        <w:rPr>
          <w:color w:val="000000"/>
          <w:spacing w:val="3"/>
          <w:sz w:val="16"/>
          <w:szCs w:val="16"/>
        </w:rPr>
        <w:t xml:space="preserve">Tiež okrem zmlúv o kúpe alebo nájme, akýmikoľvek finančnými prostriedkami, pozemkov, existujúcich budov alebo iných nehnuteľností alebo práv </w:t>
      </w:r>
      <w:r>
        <w:rPr>
          <w:color w:val="000000"/>
          <w:spacing w:val="5"/>
          <w:sz w:val="16"/>
          <w:szCs w:val="16"/>
        </w:rPr>
        <w:t xml:space="preserve">k nim: avšak finančné služby uzatvorené v rovnakom čase, pred alebo po kúpnej zmluve alebo zmluve na prenájom v akejkoľvek forme pod </w:t>
      </w:r>
      <w:r>
        <w:rPr>
          <w:color w:val="000000"/>
          <w:spacing w:val="3"/>
          <w:sz w:val="16"/>
          <w:szCs w:val="16"/>
        </w:rPr>
        <w:t>príslušnú smernicu spadajú.</w:t>
      </w:r>
    </w:p>
    <w:p w:rsidR="004A66F9" w:rsidRDefault="004A66F9" w:rsidP="004A66F9">
      <w:pPr>
        <w:shd w:val="clear" w:color="auto" w:fill="FFFFFF"/>
        <w:tabs>
          <w:tab w:val="left" w:pos="149"/>
        </w:tabs>
        <w:spacing w:line="192" w:lineRule="exact"/>
        <w:ind w:left="149" w:hanging="125"/>
      </w:pPr>
      <w:r>
        <w:rPr>
          <w:color w:val="000000"/>
          <w:sz w:val="16"/>
          <w:szCs w:val="16"/>
          <w:vertAlign w:val="superscript"/>
        </w:rPr>
        <w:t>5</w:t>
      </w:r>
      <w:r>
        <w:rPr>
          <w:color w:val="000000"/>
          <w:sz w:val="16"/>
          <w:szCs w:val="16"/>
          <w:vertAlign w:val="superscript"/>
        </w:rPr>
        <w:tab/>
      </w:r>
      <w:r>
        <w:rPr>
          <w:color w:val="000000"/>
          <w:spacing w:val="2"/>
          <w:sz w:val="16"/>
          <w:szCs w:val="16"/>
        </w:rPr>
        <w:t>S výnimkou výskumu a vývoja iných ako tie služby, z ktorých výnosy plynú výhradne verejnému obstarávateľovi na používanie pri výkone vlastných</w:t>
      </w:r>
      <w:r>
        <w:rPr>
          <w:color w:val="000000"/>
          <w:spacing w:val="2"/>
          <w:sz w:val="16"/>
          <w:szCs w:val="16"/>
        </w:rPr>
        <w:br/>
      </w:r>
      <w:r>
        <w:rPr>
          <w:color w:val="000000"/>
          <w:spacing w:val="5"/>
          <w:sz w:val="16"/>
          <w:szCs w:val="16"/>
        </w:rPr>
        <w:t>záležitostí pod podmienkou, že poskytovaná služba je plne hradená verejným obstarávateľom.</w:t>
      </w:r>
    </w:p>
    <w:p w:rsidR="004A66F9" w:rsidRDefault="004A66F9" w:rsidP="004A66F9">
      <w:pPr>
        <w:shd w:val="clear" w:color="auto" w:fill="FFFFFF"/>
        <w:tabs>
          <w:tab w:val="left" w:pos="149"/>
        </w:tabs>
        <w:spacing w:line="192" w:lineRule="exact"/>
        <w:ind w:left="24"/>
      </w:pPr>
      <w:r>
        <w:rPr>
          <w:color w:val="000000"/>
          <w:sz w:val="16"/>
          <w:szCs w:val="16"/>
          <w:vertAlign w:val="superscript"/>
        </w:rPr>
        <w:t>6</w:t>
      </w:r>
      <w:r>
        <w:rPr>
          <w:color w:val="000000"/>
          <w:sz w:val="16"/>
          <w:szCs w:val="16"/>
          <w:vertAlign w:val="superscript"/>
        </w:rPr>
        <w:tab/>
      </w:r>
      <w:r>
        <w:rPr>
          <w:color w:val="000000"/>
          <w:spacing w:val="4"/>
          <w:sz w:val="16"/>
          <w:szCs w:val="16"/>
        </w:rPr>
        <w:t>S výnimkou arbitrážnych a rozhodcovských služieb.</w:t>
      </w:r>
    </w:p>
    <w:p w:rsidR="004A66F9" w:rsidRDefault="004A66F9" w:rsidP="004A66F9">
      <w:pPr>
        <w:shd w:val="clear" w:color="auto" w:fill="FFFFFF"/>
        <w:tabs>
          <w:tab w:val="left" w:pos="149"/>
        </w:tabs>
        <w:spacing w:line="192" w:lineRule="exact"/>
        <w:ind w:left="24"/>
      </w:pPr>
      <w:r>
        <w:rPr>
          <w:color w:val="000000"/>
          <w:sz w:val="16"/>
          <w:szCs w:val="16"/>
          <w:vertAlign w:val="superscript"/>
        </w:rPr>
        <w:t>7</w:t>
      </w:r>
      <w:r>
        <w:rPr>
          <w:color w:val="000000"/>
          <w:sz w:val="16"/>
          <w:szCs w:val="16"/>
          <w:vertAlign w:val="superscript"/>
        </w:rPr>
        <w:tab/>
      </w:r>
      <w:r>
        <w:rPr>
          <w:color w:val="000000"/>
          <w:spacing w:val="5"/>
          <w:sz w:val="16"/>
          <w:szCs w:val="16"/>
        </w:rPr>
        <w:t>Kategórie služieb v zmysle článku 32 prílohy VIIB k smernici 2004/17/ES a/alebo článku 21 prílohy IIB smernice 2004/18/ES.</w:t>
      </w:r>
    </w:p>
    <w:p w:rsidR="004A66F9" w:rsidRDefault="004A66F9" w:rsidP="004A66F9">
      <w:pPr>
        <w:shd w:val="clear" w:color="auto" w:fill="FFFFFF"/>
        <w:tabs>
          <w:tab w:val="left" w:pos="149"/>
        </w:tabs>
        <w:spacing w:line="192" w:lineRule="exact"/>
        <w:ind w:left="24"/>
      </w:pPr>
      <w:r>
        <w:rPr>
          <w:color w:val="000000"/>
          <w:sz w:val="16"/>
          <w:szCs w:val="16"/>
          <w:vertAlign w:val="superscript"/>
        </w:rPr>
        <w:t>8</w:t>
      </w:r>
      <w:r>
        <w:rPr>
          <w:color w:val="000000"/>
          <w:sz w:val="16"/>
          <w:szCs w:val="16"/>
          <w:vertAlign w:val="superscript"/>
        </w:rPr>
        <w:tab/>
      </w:r>
      <w:r>
        <w:rPr>
          <w:color w:val="000000"/>
          <w:spacing w:val="4"/>
          <w:sz w:val="16"/>
          <w:szCs w:val="16"/>
        </w:rPr>
        <w:t>S výnimkou pracovných zmlúv.</w:t>
      </w:r>
    </w:p>
    <w:p w:rsidR="004A66F9" w:rsidRDefault="004A66F9" w:rsidP="004A66F9">
      <w:pPr>
        <w:shd w:val="clear" w:color="auto" w:fill="FFFFFF"/>
        <w:tabs>
          <w:tab w:val="left" w:pos="149"/>
        </w:tabs>
        <w:spacing w:line="192" w:lineRule="exact"/>
        <w:ind w:left="149" w:hanging="125"/>
      </w:pPr>
      <w:r>
        <w:rPr>
          <w:color w:val="000000"/>
          <w:sz w:val="16"/>
          <w:szCs w:val="16"/>
          <w:vertAlign w:val="superscript"/>
        </w:rPr>
        <w:t>9</w:t>
      </w:r>
      <w:r>
        <w:rPr>
          <w:color w:val="000000"/>
          <w:sz w:val="16"/>
          <w:szCs w:val="16"/>
          <w:vertAlign w:val="superscript"/>
        </w:rPr>
        <w:tab/>
      </w:r>
      <w:r>
        <w:rPr>
          <w:color w:val="000000"/>
          <w:spacing w:val="4"/>
          <w:sz w:val="16"/>
          <w:szCs w:val="16"/>
        </w:rPr>
        <w:t>Okrem zmlúv na získanie, vývoj, produkciu alebo koprodukciu programového materiálu zo strany vysielajúcich organizácií a zmlúv o vysielacom</w:t>
      </w:r>
      <w:r>
        <w:rPr>
          <w:color w:val="000000"/>
          <w:spacing w:val="4"/>
          <w:sz w:val="16"/>
          <w:szCs w:val="16"/>
        </w:rPr>
        <w:br/>
      </w:r>
      <w:r>
        <w:rPr>
          <w:color w:val="000000"/>
          <w:spacing w:val="-4"/>
          <w:sz w:val="16"/>
          <w:szCs w:val="16"/>
        </w:rPr>
        <w:t xml:space="preserve">čase (pre </w:t>
      </w:r>
      <w:proofErr w:type="spellStart"/>
      <w:r>
        <w:rPr>
          <w:i/>
          <w:iCs/>
          <w:color w:val="000000"/>
          <w:spacing w:val="-4"/>
          <w:sz w:val="16"/>
          <w:szCs w:val="16"/>
        </w:rPr>
        <w:t>verejnýdi</w:t>
      </w:r>
      <w:proofErr w:type="spellEnd"/>
      <w:r>
        <w:rPr>
          <w:i/>
          <w:iCs/>
          <w:color w:val="000000"/>
          <w:spacing w:val="-4"/>
          <w:sz w:val="16"/>
          <w:szCs w:val="16"/>
        </w:rPr>
        <w:t xml:space="preserve"> obstarávateľov).</w:t>
      </w:r>
    </w:p>
    <w:p w:rsidR="004A66F9" w:rsidRDefault="004A66F9" w:rsidP="004A66F9">
      <w:pPr>
        <w:shd w:val="clear" w:color="auto" w:fill="FFFFFF"/>
        <w:spacing w:before="538"/>
        <w:jc w:val="right"/>
      </w:pPr>
      <w:r>
        <w:rPr>
          <w:i/>
          <w:iCs/>
          <w:color w:val="000000"/>
          <w:spacing w:val="12"/>
          <w:sz w:val="16"/>
          <w:szCs w:val="16"/>
        </w:rPr>
        <w:t xml:space="preserve">Štandardný formulár </w:t>
      </w:r>
      <w:r>
        <w:rPr>
          <w:color w:val="000000"/>
          <w:spacing w:val="12"/>
          <w:sz w:val="16"/>
          <w:szCs w:val="16"/>
        </w:rPr>
        <w:t xml:space="preserve">15- </w:t>
      </w:r>
      <w:r>
        <w:rPr>
          <w:i/>
          <w:iCs/>
          <w:color w:val="000000"/>
          <w:spacing w:val="12"/>
          <w:sz w:val="16"/>
          <w:szCs w:val="16"/>
        </w:rPr>
        <w:t>SK</w:t>
      </w:r>
    </w:p>
    <w:p w:rsidR="004A66F9" w:rsidRDefault="004A66F9" w:rsidP="004A66F9">
      <w:pPr>
        <w:shd w:val="clear" w:color="auto" w:fill="FFFFFF"/>
        <w:spacing w:before="538"/>
        <w:jc w:val="right"/>
        <w:sectPr w:rsidR="004A66F9" w:rsidSect="004A66F9">
          <w:pgSz w:w="11909" w:h="16834"/>
          <w:pgMar w:top="709" w:right="886" w:bottom="360" w:left="818" w:header="708" w:footer="708" w:gutter="0"/>
          <w:cols w:space="60"/>
          <w:noEndnote/>
        </w:sectPr>
      </w:pPr>
    </w:p>
    <w:p w:rsidR="00F8673F" w:rsidRDefault="00F8673F"/>
    <w:sectPr w:rsidR="00F86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F9"/>
    <w:rsid w:val="00170B9C"/>
    <w:rsid w:val="004A66F9"/>
    <w:rsid w:val="00BC4CE0"/>
    <w:rsid w:val="00F8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A66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A66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Slovenské elektrárne, a.s.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Schmidtová Zuzana</dc:creator>
  <cp:lastModifiedBy>Schmidtová Zuzana</cp:lastModifiedBy>
  <cp:revision>1</cp:revision>
  <dcterms:created xsi:type="dcterms:W3CDTF">2016-01-07T08:26:00Z</dcterms:created>
  <dcterms:modified xsi:type="dcterms:W3CDTF">2016-01-07T08:28:00Z</dcterms:modified>
</cp:coreProperties>
</file>